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1E" w:rsidRDefault="00E4551E" w:rsidP="00017647">
      <w:pPr>
        <w:pStyle w:val="Title"/>
      </w:pPr>
      <w:r>
        <w:t>CEC Reviewer Scoring Guide and Rubric</w:t>
      </w:r>
    </w:p>
    <w:p w:rsidR="00E4551E" w:rsidRPr="00E4551E" w:rsidRDefault="00E4551E" w:rsidP="00E4551E">
      <w:pPr>
        <w:tabs>
          <w:tab w:val="clear" w:pos="720"/>
        </w:tabs>
        <w:spacing w:before="120" w:after="0"/>
        <w:jc w:val="left"/>
        <w:rPr>
          <w:rFonts w:eastAsia="Malgun Gothic" w:cs="Arial"/>
          <w:b/>
          <w:bCs/>
        </w:rPr>
      </w:pPr>
      <w:r w:rsidRPr="00E4551E">
        <w:rPr>
          <w:rFonts w:eastAsia="Malgun Gothic" w:cs="Arial"/>
          <w:b/>
          <w:bCs/>
        </w:rPr>
        <w:t>Directions</w:t>
      </w:r>
    </w:p>
    <w:p w:rsidR="008B2795" w:rsidRPr="00285CF9" w:rsidRDefault="00F0437E" w:rsidP="004B343A">
      <w:pPr>
        <w:pStyle w:val="ListParagraph"/>
        <w:numPr>
          <w:ilvl w:val="0"/>
          <w:numId w:val="2"/>
        </w:numPr>
        <w:tabs>
          <w:tab w:val="clear" w:pos="720"/>
        </w:tabs>
        <w:spacing w:before="120" w:after="0"/>
        <w:ind w:left="360"/>
        <w:jc w:val="left"/>
        <w:rPr>
          <w:rFonts w:eastAsia="Malgun Gothic" w:cs="Arial"/>
        </w:rPr>
      </w:pPr>
      <w:r w:rsidRPr="00F0437E">
        <w:rPr>
          <w:rFonts w:eastAsia="Malgun Gothic" w:cs="Arial"/>
          <w:b/>
          <w:bCs/>
        </w:rPr>
        <w:t xml:space="preserve">CEC Clinical Experience Scoring Guide </w:t>
      </w:r>
      <w:r w:rsidRPr="00F0437E">
        <w:rPr>
          <w:rFonts w:eastAsia="Malgun Gothic" w:cs="Arial"/>
          <w:b/>
          <w:bCs/>
        </w:rPr>
        <w:tab/>
      </w:r>
      <w:r>
        <w:rPr>
          <w:rFonts w:eastAsia="Malgun Gothic" w:cs="Arial"/>
        </w:rPr>
        <w:tab/>
      </w:r>
      <w:r w:rsidR="008B2795" w:rsidRPr="00285CF9">
        <w:rPr>
          <w:rFonts w:eastAsia="Malgun Gothic" w:cs="Arial"/>
        </w:rPr>
        <w:t>Program reviewers examine the evidence in the program report and make a finding for each of the variables in the CEC Clinical Experience Scoring Guide</w:t>
      </w:r>
      <w:r w:rsidR="008B2795">
        <w:rPr>
          <w:rFonts w:eastAsia="Malgun Gothic" w:cs="Arial"/>
        </w:rPr>
        <w:t>.  Overall, the CEC Clinical Experience Standard is met when all of the variables</w:t>
      </w:r>
      <w:r>
        <w:rPr>
          <w:rFonts w:eastAsia="Malgun Gothic" w:cs="Arial"/>
        </w:rPr>
        <w:t xml:space="preserve"> in the scoring guide</w:t>
      </w:r>
      <w:r w:rsidR="008B2795">
        <w:rPr>
          <w:rFonts w:eastAsia="Malgun Gothic" w:cs="Arial"/>
        </w:rPr>
        <w:t xml:space="preserve"> are “met”, and the CEC Clinical Experience Standard is not met when any of the variables are “not met”</w:t>
      </w:r>
      <w:r>
        <w:rPr>
          <w:rFonts w:eastAsia="Malgun Gothic" w:cs="Arial"/>
        </w:rPr>
        <w:t xml:space="preserve">.  </w:t>
      </w:r>
      <w:r w:rsidR="009F62DD">
        <w:rPr>
          <w:rFonts w:eastAsia="Malgun Gothic" w:cs="Arial"/>
        </w:rPr>
        <w:t xml:space="preserve">Any other score </w:t>
      </w:r>
      <w:r w:rsidR="00F83E5C">
        <w:rPr>
          <w:rFonts w:eastAsia="Malgun Gothic" w:cs="Arial"/>
        </w:rPr>
        <w:t>is rated</w:t>
      </w:r>
      <w:r w:rsidR="009F62DD">
        <w:rPr>
          <w:rFonts w:eastAsia="Malgun Gothic" w:cs="Arial"/>
        </w:rPr>
        <w:t xml:space="preserve"> </w:t>
      </w:r>
      <w:r>
        <w:rPr>
          <w:rFonts w:eastAsia="Malgun Gothic" w:cs="Arial"/>
        </w:rPr>
        <w:t>“met with conditions”</w:t>
      </w:r>
      <w:r w:rsidR="009F62DD">
        <w:rPr>
          <w:rFonts w:eastAsia="Malgun Gothic" w:cs="Arial"/>
        </w:rPr>
        <w:t>.</w:t>
      </w:r>
    </w:p>
    <w:p w:rsidR="008B2795" w:rsidRPr="00940991" w:rsidRDefault="00F0437E" w:rsidP="004B343A">
      <w:pPr>
        <w:pStyle w:val="ListParagraph"/>
        <w:numPr>
          <w:ilvl w:val="0"/>
          <w:numId w:val="2"/>
        </w:numPr>
        <w:tabs>
          <w:tab w:val="clear" w:pos="720"/>
        </w:tabs>
        <w:spacing w:before="120" w:after="0"/>
        <w:ind w:left="360"/>
        <w:jc w:val="left"/>
        <w:rPr>
          <w:rFonts w:eastAsia="Malgun Gothic" w:cs="Arial"/>
        </w:rPr>
      </w:pPr>
      <w:r w:rsidRPr="00F0437E">
        <w:rPr>
          <w:rFonts w:eastAsia="Malgun Gothic" w:cs="Arial"/>
          <w:b/>
          <w:bCs/>
        </w:rPr>
        <w:t>CEC Preparation Standard Review Rubric</w:t>
      </w:r>
      <w:r w:rsidRPr="009565C7">
        <w:rPr>
          <w:rFonts w:eastAsia="Malgun Gothic" w:cs="Arial"/>
        </w:rPr>
        <w:t xml:space="preserve"> </w:t>
      </w:r>
      <w:r>
        <w:rPr>
          <w:rFonts w:eastAsia="Malgun Gothic" w:cs="Arial"/>
        </w:rPr>
        <w:tab/>
      </w:r>
      <w:r w:rsidR="00940991">
        <w:rPr>
          <w:rFonts w:eastAsia="Malgun Gothic" w:cs="Arial"/>
        </w:rPr>
        <w:tab/>
      </w:r>
      <w:r w:rsidR="008B2795" w:rsidRPr="009565C7">
        <w:rPr>
          <w:rFonts w:eastAsia="Malgun Gothic" w:cs="Arial"/>
        </w:rPr>
        <w:t xml:space="preserve">The CEC Preparation Standard Review Rubric is designed to be used separately with each of the CEC Preparation Standards in conjunction with the </w:t>
      </w:r>
      <w:r w:rsidR="008B2795" w:rsidRPr="009565C7">
        <w:rPr>
          <w:rFonts w:eastAsia="Malgun Gothic" w:cs="Arial"/>
          <w:lang w:bidi="en-US"/>
        </w:rPr>
        <w:t>CEC Preparation Standard Rubric Worksheet.</w:t>
      </w:r>
      <w:r>
        <w:rPr>
          <w:rFonts w:eastAsia="Malgun Gothic" w:cs="Arial"/>
          <w:lang w:bidi="en-US"/>
        </w:rPr>
        <w:t xml:space="preserve">  </w:t>
      </w:r>
      <w:r w:rsidR="008B2795" w:rsidRPr="00F0437E">
        <w:rPr>
          <w:rFonts w:eastAsia="Malgun Gothic" w:cs="Arial"/>
        </w:rPr>
        <w:t>Program reviewers examine the evidence in the program report for each of the program assessments cited as aligning with the CEC Preparation Standards, and make a finding for each on the variables in the rubric for each of the CEC Preparation Standards.</w:t>
      </w:r>
      <w:r>
        <w:rPr>
          <w:rFonts w:eastAsia="Malgun Gothic" w:cs="Arial"/>
        </w:rPr>
        <w:t xml:space="preserve">  </w:t>
      </w:r>
      <w:r w:rsidR="008B2795" w:rsidRPr="00F0437E">
        <w:rPr>
          <w:rFonts w:eastAsia="Malgun Gothic" w:cs="Arial"/>
        </w:rPr>
        <w:t>Overall, a CEC Preparation Standard is “met” when the reviewer finds t</w:t>
      </w:r>
      <w:r w:rsidR="00940991">
        <w:rPr>
          <w:rFonts w:eastAsia="Malgun Gothic" w:cs="Arial"/>
        </w:rPr>
        <w:t>hat all four ratings are “met</w:t>
      </w:r>
      <w:r w:rsidR="008B2795" w:rsidRPr="00F0437E">
        <w:rPr>
          <w:rFonts w:eastAsia="Malgun Gothic" w:cs="Arial"/>
        </w:rPr>
        <w:t>”</w:t>
      </w:r>
      <w:r w:rsidR="00940991">
        <w:rPr>
          <w:rFonts w:eastAsia="Malgun Gothic" w:cs="Arial"/>
        </w:rPr>
        <w:t xml:space="preserve">, and the CEC Preparation Standard is not met when any of the variables are “not met”. </w:t>
      </w:r>
      <w:r w:rsidR="004B343A">
        <w:rPr>
          <w:rFonts w:eastAsia="Malgun Gothic" w:cs="Arial"/>
        </w:rPr>
        <w:t xml:space="preserve"> </w:t>
      </w:r>
      <w:r w:rsidR="00F83E5C">
        <w:rPr>
          <w:rFonts w:eastAsia="Malgun Gothic" w:cs="Arial"/>
        </w:rPr>
        <w:t xml:space="preserve">Any other score is rated </w:t>
      </w:r>
      <w:r w:rsidR="00940991">
        <w:rPr>
          <w:rFonts w:eastAsia="Malgun Gothic" w:cs="Arial"/>
        </w:rPr>
        <w:t>“met with conditions”</w:t>
      </w:r>
      <w:r w:rsidR="009F62DD">
        <w:rPr>
          <w:rFonts w:eastAsia="Malgun Gothic" w:cs="Arial"/>
        </w:rPr>
        <w:t>.</w:t>
      </w:r>
    </w:p>
    <w:p w:rsidR="008B2795" w:rsidRDefault="00F0437E" w:rsidP="00F0437E">
      <w:pPr>
        <w:pStyle w:val="ListParagraph"/>
        <w:numPr>
          <w:ilvl w:val="0"/>
          <w:numId w:val="2"/>
        </w:numPr>
        <w:tabs>
          <w:tab w:val="clear" w:pos="720"/>
        </w:tabs>
        <w:spacing w:before="240"/>
        <w:ind w:left="360"/>
        <w:jc w:val="left"/>
        <w:rPr>
          <w:rFonts w:eastAsia="Malgun Gothic" w:cs="Arial"/>
        </w:rPr>
      </w:pPr>
      <w:r w:rsidRPr="00F0437E">
        <w:rPr>
          <w:rFonts w:eastAsia="Malgun Gothic" w:cs="Arial"/>
          <w:b/>
          <w:bCs/>
          <w:lang w:bidi="en-US"/>
        </w:rPr>
        <w:t xml:space="preserve">Program Report Decision Criteria Guide </w:t>
      </w:r>
      <w:r>
        <w:rPr>
          <w:rFonts w:eastAsia="Malgun Gothic" w:cs="Arial"/>
          <w:lang w:bidi="en-US"/>
        </w:rPr>
        <w:tab/>
      </w:r>
      <w:r>
        <w:rPr>
          <w:rFonts w:eastAsia="Malgun Gothic" w:cs="Arial"/>
          <w:lang w:bidi="en-US"/>
        </w:rPr>
        <w:tab/>
      </w:r>
      <w:r w:rsidR="008B2795" w:rsidRPr="009565C7">
        <w:rPr>
          <w:rFonts w:eastAsia="Malgun Gothic" w:cs="Arial"/>
        </w:rPr>
        <w:t xml:space="preserve">After rating each of the CEC Preparation Standards and the CEC Clinical Experience Rubric, the reviewer consults the </w:t>
      </w:r>
      <w:r w:rsidR="008B2795" w:rsidRPr="009565C7">
        <w:rPr>
          <w:rFonts w:eastAsia="Malgun Gothic" w:cs="Arial"/>
          <w:lang w:bidi="en-US"/>
        </w:rPr>
        <w:t xml:space="preserve">Program Report Decision Criteria </w:t>
      </w:r>
      <w:r w:rsidR="008B2795">
        <w:rPr>
          <w:rFonts w:eastAsia="Malgun Gothic" w:cs="Arial"/>
          <w:lang w:bidi="en-US"/>
        </w:rPr>
        <w:t xml:space="preserve">Guide </w:t>
      </w:r>
      <w:r w:rsidR="008B2795" w:rsidRPr="009565C7">
        <w:rPr>
          <w:rFonts w:eastAsia="Malgun Gothic" w:cs="Arial"/>
          <w:lang w:bidi="en-US"/>
        </w:rPr>
        <w:t>to determine the appropriate decision for the program report.</w:t>
      </w:r>
    </w:p>
    <w:p w:rsidR="00F0437E" w:rsidRPr="00F0437E" w:rsidRDefault="00F0437E" w:rsidP="00F0437E">
      <w:pPr>
        <w:pStyle w:val="ListParagraph"/>
        <w:tabs>
          <w:tab w:val="clear" w:pos="720"/>
        </w:tabs>
        <w:spacing w:before="240"/>
        <w:ind w:left="360"/>
        <w:jc w:val="left"/>
        <w:rPr>
          <w:rFonts w:eastAsia="Malgun Gothic" w:cs="Arial"/>
        </w:rPr>
      </w:pPr>
    </w:p>
    <w:p w:rsidR="009E0F1F" w:rsidRPr="009E0F1F" w:rsidRDefault="009E0F1F" w:rsidP="00017647">
      <w:pPr>
        <w:pStyle w:val="Title"/>
      </w:pPr>
      <w:r w:rsidRPr="009E0F1F">
        <w:t xml:space="preserve">CEC Clinical Preparation </w:t>
      </w:r>
      <w:r w:rsidR="00940991">
        <w:t>Scoring Guide</w:t>
      </w:r>
    </w:p>
    <w:tbl>
      <w:tblPr>
        <w:tblW w:w="936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600"/>
      </w:tblPr>
      <w:tblGrid>
        <w:gridCol w:w="1890"/>
        <w:gridCol w:w="3690"/>
        <w:gridCol w:w="1260"/>
        <w:gridCol w:w="1260"/>
        <w:gridCol w:w="1260"/>
      </w:tblGrid>
      <w:tr w:rsidR="007C2C8D" w:rsidRPr="007C2C8D" w:rsidTr="00191099">
        <w:trPr>
          <w:cantSplit/>
          <w:tblCellSpacing w:w="21" w:type="dxa"/>
          <w:jc w:val="center"/>
        </w:trPr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6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7C2C8D">
              <w:rPr>
                <w:rFonts w:eastAsia="Times New Roman" w:cs="Arial"/>
                <w:b/>
                <w:bCs/>
                <w:sz w:val="16"/>
                <w:szCs w:val="16"/>
              </w:rPr>
              <w:t>MET WITH CONDITIONS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6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16"/>
                <w:szCs w:val="16"/>
              </w:rPr>
              <w:t>MET</w:t>
            </w:r>
          </w:p>
        </w:tc>
      </w:tr>
      <w:tr w:rsidR="007C2C8D" w:rsidRPr="007C2C8D" w:rsidTr="00191099">
        <w:trPr>
          <w:cantSplit/>
          <w:tblCellSpacing w:w="21" w:type="dxa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 xml:space="preserve">Site-based Clinical Educators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Clinical special educators are credentialed in the special education areas for which the candidate is being prepared,</w:t>
            </w:r>
          </w:p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AND</w:t>
            </w:r>
          </w:p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Selected for their expertise and experience with the individuals and special education services for which the candidate is preparing.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 xml:space="preserve">RANDOMLY </w:t>
            </w:r>
          </w:p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 OCCASIONALLY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8D" w:rsidRPr="00191099" w:rsidRDefault="008B2795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CLEARLY</w:t>
            </w:r>
          </w:p>
          <w:p w:rsidR="008B2795" w:rsidRPr="00191099" w:rsidRDefault="008B2795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</w:t>
            </w:r>
          </w:p>
          <w:p w:rsidR="008B2795" w:rsidRPr="00191099" w:rsidRDefault="008B2795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CONSISTENTLY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CLEARLY AND CONSISTENTLY</w:t>
            </w:r>
          </w:p>
        </w:tc>
      </w:tr>
      <w:tr w:rsidR="007C2C8D" w:rsidRPr="007C2C8D" w:rsidTr="00191099">
        <w:trPr>
          <w:cantSplit/>
          <w:trHeight w:val="1069"/>
          <w:tblCellSpacing w:w="21" w:type="dxa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Coordinating</w:t>
            </w:r>
          </w:p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University Faculty Members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Coordinating special education faculty supervisors are qualified in the special education areas for which the candidates are being prepared,</w:t>
            </w:r>
          </w:p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AND</w:t>
            </w:r>
          </w:p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Selected for their expertise and experience with the individuals and special education services for which the candidate is preparing.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 xml:space="preserve">RANDOMLY </w:t>
            </w:r>
          </w:p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 OCCASIONALLY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CLEARLY</w:t>
            </w:r>
          </w:p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</w:t>
            </w:r>
          </w:p>
          <w:p w:rsidR="007C2C8D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CONSISTENTLY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CLEARLY AND CONSISTENTLY</w:t>
            </w:r>
          </w:p>
        </w:tc>
      </w:tr>
      <w:tr w:rsidR="007C2C8D" w:rsidRPr="007C2C8D" w:rsidTr="00191099">
        <w:trPr>
          <w:cantSplit/>
          <w:trHeight w:val="304"/>
          <w:tblCellSpacing w:w="21" w:type="dxa"/>
          <w:jc w:val="center"/>
        </w:trPr>
        <w:tc>
          <w:tcPr>
            <w:tcW w:w="1827" w:type="dxa"/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Placements</w:t>
            </w:r>
          </w:p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 xml:space="preserve">Sequenced </w:t>
            </w:r>
          </w:p>
        </w:tc>
        <w:tc>
          <w:tcPr>
            <w:tcW w:w="3648" w:type="dxa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jc w:val="left"/>
              <w:rPr>
                <w:rFonts w:eastAsia="Times New Roman" w:cs="Arial"/>
                <w:sz w:val="20"/>
                <w:szCs w:val="24"/>
              </w:rPr>
            </w:pPr>
            <w:r w:rsidRPr="007C2C8D">
              <w:rPr>
                <w:rFonts w:eastAsia="Times New Roman" w:cs="Arial"/>
                <w:sz w:val="20"/>
                <w:szCs w:val="24"/>
              </w:rPr>
              <w:t>Clinical experiences are developmentally sequenced throughout the program to support candidate learning.</w:t>
            </w:r>
          </w:p>
        </w:tc>
        <w:tc>
          <w:tcPr>
            <w:tcW w:w="1218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 xml:space="preserve">RANDOMLY </w:t>
            </w:r>
          </w:p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 OCCASIONALLY</w:t>
            </w:r>
          </w:p>
        </w:tc>
        <w:tc>
          <w:tcPr>
            <w:tcW w:w="1218" w:type="dxa"/>
            <w:vAlign w:val="center"/>
          </w:tcPr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CLEARLY</w:t>
            </w:r>
          </w:p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</w:t>
            </w:r>
          </w:p>
          <w:p w:rsidR="007C2C8D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CONSISTENTLY</w:t>
            </w:r>
          </w:p>
        </w:tc>
        <w:tc>
          <w:tcPr>
            <w:tcW w:w="1197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CLEARLY AND CONSISTENTLY</w:t>
            </w:r>
          </w:p>
        </w:tc>
      </w:tr>
      <w:tr w:rsidR="007C2C8D" w:rsidRPr="007C2C8D" w:rsidTr="00191099">
        <w:trPr>
          <w:cantSplit/>
          <w:tblCellSpacing w:w="21" w:type="dxa"/>
          <w:jc w:val="center"/>
        </w:trPr>
        <w:tc>
          <w:tcPr>
            <w:tcW w:w="1827" w:type="dxa"/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Placements Maximize Experiences</w:t>
            </w:r>
          </w:p>
        </w:tc>
        <w:tc>
          <w:tcPr>
            <w:tcW w:w="3648" w:type="dxa"/>
          </w:tcPr>
          <w:p w:rsidR="007C2C8D" w:rsidRPr="00FF2BF4" w:rsidRDefault="007C2C8D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Clinical experiences are structured to maximize the experience of each candidate with individuals with the exceptionalities across the age, grade, and severity range(s) for which the candidate is being prepared.</w:t>
            </w:r>
          </w:p>
        </w:tc>
        <w:tc>
          <w:tcPr>
            <w:tcW w:w="1218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 xml:space="preserve">RANDOMLY </w:t>
            </w:r>
          </w:p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 OCCASIONALLY</w:t>
            </w:r>
          </w:p>
        </w:tc>
        <w:tc>
          <w:tcPr>
            <w:tcW w:w="1218" w:type="dxa"/>
            <w:vAlign w:val="center"/>
          </w:tcPr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CLEARLY</w:t>
            </w:r>
          </w:p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</w:t>
            </w:r>
          </w:p>
          <w:p w:rsidR="007C2C8D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CONSISTENTLY</w:t>
            </w:r>
          </w:p>
        </w:tc>
        <w:tc>
          <w:tcPr>
            <w:tcW w:w="1197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CLEARLY AND CONSISTENTLY</w:t>
            </w:r>
          </w:p>
        </w:tc>
      </w:tr>
      <w:tr w:rsidR="007C2C8D" w:rsidRPr="007C2C8D" w:rsidTr="00191099">
        <w:trPr>
          <w:cantSplit/>
          <w:trHeight w:val="556"/>
          <w:tblCellSpacing w:w="21" w:type="dxa"/>
          <w:jc w:val="center"/>
        </w:trPr>
        <w:tc>
          <w:tcPr>
            <w:tcW w:w="1827" w:type="dxa"/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Performance Assessment</w:t>
            </w:r>
          </w:p>
        </w:tc>
        <w:tc>
          <w:tcPr>
            <w:tcW w:w="3648" w:type="dxa"/>
          </w:tcPr>
          <w:p w:rsidR="007C2C8D" w:rsidRPr="00FF2BF4" w:rsidRDefault="007C2C8D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Clinical practice includes ongoing evaluation and feedback of candidate performance from both the clinical special educator and the coordinating faculty member.</w:t>
            </w:r>
          </w:p>
        </w:tc>
        <w:tc>
          <w:tcPr>
            <w:tcW w:w="1218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 xml:space="preserve">RANDOMLY </w:t>
            </w:r>
          </w:p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 OCCASIONALLY</w:t>
            </w:r>
          </w:p>
        </w:tc>
        <w:tc>
          <w:tcPr>
            <w:tcW w:w="1218" w:type="dxa"/>
            <w:vAlign w:val="center"/>
          </w:tcPr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CLEARLY</w:t>
            </w:r>
          </w:p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</w:t>
            </w:r>
          </w:p>
          <w:p w:rsidR="007C2C8D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CONSISTENTLY</w:t>
            </w:r>
          </w:p>
        </w:tc>
        <w:tc>
          <w:tcPr>
            <w:tcW w:w="1197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CLEARLY AND CONSISTENTLY</w:t>
            </w:r>
          </w:p>
        </w:tc>
      </w:tr>
      <w:tr w:rsidR="007C2C8D" w:rsidRPr="007C2C8D" w:rsidTr="00191099">
        <w:trPr>
          <w:cantSplit/>
          <w:trHeight w:val="601"/>
          <w:tblCellSpacing w:w="21" w:type="dxa"/>
          <w:jc w:val="center"/>
        </w:trPr>
        <w:tc>
          <w:tcPr>
            <w:tcW w:w="1827" w:type="dxa"/>
            <w:shd w:val="clear" w:color="auto" w:fill="BFBFBF"/>
            <w:vAlign w:val="center"/>
          </w:tcPr>
          <w:p w:rsidR="007C2C8D" w:rsidRPr="007C2C8D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C2C8D">
              <w:rPr>
                <w:rFonts w:eastAsia="Times New Roman" w:cs="Arial"/>
                <w:b/>
                <w:bCs/>
                <w:sz w:val="20"/>
                <w:szCs w:val="20"/>
              </w:rPr>
              <w:t>Length of Clinical Preparation</w:t>
            </w:r>
          </w:p>
        </w:tc>
        <w:tc>
          <w:tcPr>
            <w:tcW w:w="3648" w:type="dxa"/>
          </w:tcPr>
          <w:p w:rsidR="007C2C8D" w:rsidRPr="00FF2BF4" w:rsidRDefault="007C2C8D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Clinical experiences are sufficiently extensive and intensive for special education candidates to develop and demonstrate the knowledge and skills in the professional roles for which they are preparing.</w:t>
            </w:r>
          </w:p>
        </w:tc>
        <w:tc>
          <w:tcPr>
            <w:tcW w:w="1218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 xml:space="preserve">RANDOMLY </w:t>
            </w:r>
          </w:p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 OCCASIONALLY</w:t>
            </w:r>
          </w:p>
        </w:tc>
        <w:tc>
          <w:tcPr>
            <w:tcW w:w="1218" w:type="dxa"/>
            <w:vAlign w:val="center"/>
          </w:tcPr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CLEARLY</w:t>
            </w:r>
          </w:p>
          <w:p w:rsidR="008B2795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OR</w:t>
            </w:r>
          </w:p>
          <w:p w:rsidR="007C2C8D" w:rsidRPr="00191099" w:rsidRDefault="008B2795" w:rsidP="008B2795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NOT CONSISTENTLY</w:t>
            </w:r>
          </w:p>
        </w:tc>
        <w:tc>
          <w:tcPr>
            <w:tcW w:w="1197" w:type="dxa"/>
            <w:vAlign w:val="center"/>
          </w:tcPr>
          <w:p w:rsidR="007C2C8D" w:rsidRPr="00191099" w:rsidRDefault="007C2C8D" w:rsidP="007C2C8D">
            <w:pPr>
              <w:widowControl w:val="0"/>
              <w:tabs>
                <w:tab w:val="clear" w:pos="720"/>
              </w:tabs>
              <w:autoSpaceDE/>
              <w:autoSpaceDN/>
              <w:adjustRightInd/>
              <w:spacing w:after="0"/>
              <w:jc w:val="center"/>
              <w:rPr>
                <w:rFonts w:eastAsia="Times New Roman" w:cs="Arial"/>
                <w:sz w:val="14"/>
                <w:szCs w:val="18"/>
              </w:rPr>
            </w:pPr>
            <w:r w:rsidRPr="00191099">
              <w:rPr>
                <w:rFonts w:eastAsia="Times New Roman" w:cs="Arial"/>
                <w:sz w:val="14"/>
                <w:szCs w:val="18"/>
              </w:rPr>
              <w:t>CLEARLY AND CONSISTENTLY</w:t>
            </w:r>
          </w:p>
        </w:tc>
      </w:tr>
    </w:tbl>
    <w:p w:rsidR="0019144F" w:rsidRDefault="0019144F" w:rsidP="00017647">
      <w:pPr>
        <w:pStyle w:val="RWMtitle"/>
      </w:pPr>
    </w:p>
    <w:p w:rsidR="00D07729" w:rsidRDefault="00D07729" w:rsidP="00017647">
      <w:pPr>
        <w:pStyle w:val="RWMtitle"/>
      </w:pPr>
      <w:r w:rsidRPr="00FB774E">
        <w:t>CEC Preparation Standard</w:t>
      </w:r>
      <w:r w:rsidRPr="00F0437E">
        <w:rPr>
          <w:rStyle w:val="FooterChar"/>
          <w:vertAlign w:val="superscript"/>
        </w:rPr>
        <w:footnoteReference w:id="1"/>
      </w:r>
      <w:r w:rsidRPr="009E0F1F">
        <w:t xml:space="preserve"> </w:t>
      </w:r>
      <w:r>
        <w:t xml:space="preserve">Review </w:t>
      </w:r>
      <w:r w:rsidRPr="00FB774E">
        <w:t>Rubric</w:t>
      </w:r>
      <w:bookmarkStart w:id="0" w:name="_GoBack"/>
      <w:bookmarkEnd w:id="0"/>
    </w:p>
    <w:tbl>
      <w:tblPr>
        <w:tblStyle w:val="TableGrid"/>
        <w:tblW w:w="9360" w:type="dxa"/>
        <w:jc w:val="center"/>
        <w:tblCellSpacing w:w="21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890"/>
        <w:gridCol w:w="2490"/>
        <w:gridCol w:w="2490"/>
        <w:gridCol w:w="2490"/>
      </w:tblGrid>
      <w:tr w:rsidR="00992E82" w:rsidRPr="00FF2BF4" w:rsidTr="00E95C90">
        <w:trPr>
          <w:trHeight w:val="345"/>
          <w:tblCellSpacing w:w="21" w:type="dxa"/>
          <w:jc w:val="center"/>
        </w:trPr>
        <w:tc>
          <w:tcPr>
            <w:tcW w:w="1827" w:type="dxa"/>
            <w:shd w:val="clear" w:color="auto" w:fill="BFBFBF" w:themeFill="background1" w:themeFillShade="BF"/>
            <w:vAlign w:val="center"/>
          </w:tcPr>
          <w:p w:rsidR="00992E82" w:rsidRPr="00FF2BF4" w:rsidRDefault="0024566F" w:rsidP="00FF2BF4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Program Assessment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992E82" w:rsidRPr="00FF2BF4" w:rsidRDefault="00992E82" w:rsidP="003C1F2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NOT MET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992E82" w:rsidRPr="00FF2BF4" w:rsidRDefault="00992E82" w:rsidP="003C1F2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MET WITH CONDITIONS</w:t>
            </w:r>
          </w:p>
        </w:tc>
        <w:tc>
          <w:tcPr>
            <w:tcW w:w="2427" w:type="dxa"/>
            <w:shd w:val="clear" w:color="auto" w:fill="BFBFBF" w:themeFill="background1" w:themeFillShade="BF"/>
            <w:vAlign w:val="center"/>
          </w:tcPr>
          <w:p w:rsidR="00992E82" w:rsidRPr="00FF2BF4" w:rsidRDefault="00992E82" w:rsidP="003C1F2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MET</w:t>
            </w:r>
          </w:p>
        </w:tc>
      </w:tr>
      <w:tr w:rsidR="001F787E" w:rsidRPr="00FF2BF4" w:rsidTr="00E95C90">
        <w:trPr>
          <w:trHeight w:val="556"/>
          <w:tblCellSpacing w:w="21" w:type="dxa"/>
          <w:jc w:val="center"/>
        </w:trPr>
        <w:tc>
          <w:tcPr>
            <w:tcW w:w="1827" w:type="dxa"/>
            <w:vAlign w:val="center"/>
          </w:tcPr>
          <w:p w:rsidR="00CD18E9" w:rsidRPr="00FF2BF4" w:rsidRDefault="00CE0D9D" w:rsidP="00FF2B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 xml:space="preserve">Section 4 </w:t>
            </w:r>
            <w:r w:rsidR="00F17E7A" w:rsidRPr="00FF2BF4">
              <w:rPr>
                <w:b/>
                <w:bCs/>
                <w:sz w:val="20"/>
                <w:szCs w:val="20"/>
              </w:rPr>
              <w:t xml:space="preserve">Assessment </w:t>
            </w:r>
            <w:r w:rsidR="00C93FB9" w:rsidRPr="00FF2BF4">
              <w:rPr>
                <w:b/>
                <w:bCs/>
                <w:sz w:val="20"/>
                <w:szCs w:val="20"/>
              </w:rPr>
              <w:t>C</w:t>
            </w:r>
            <w:r w:rsidR="000C05F5" w:rsidRPr="00FF2BF4">
              <w:rPr>
                <w:b/>
                <w:bCs/>
                <w:sz w:val="20"/>
                <w:szCs w:val="20"/>
              </w:rPr>
              <w:t>omponent</w:t>
            </w:r>
            <w:r w:rsidR="0024566F" w:rsidRPr="00FF2BF4">
              <w:rPr>
                <w:b/>
                <w:bCs/>
                <w:sz w:val="20"/>
                <w:szCs w:val="20"/>
              </w:rPr>
              <w:t>s</w:t>
            </w:r>
            <w:r w:rsidR="00CD18E9" w:rsidRPr="00FF2BF4"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448" w:type="dxa"/>
          </w:tcPr>
          <w:p w:rsidR="001F787E" w:rsidRPr="00FF2BF4" w:rsidRDefault="00C90767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components of the</w:t>
            </w:r>
            <w:r w:rsidR="00174F20" w:rsidRPr="00FF2BF4">
              <w:rPr>
                <w:sz w:val="20"/>
                <w:szCs w:val="20"/>
              </w:rPr>
              <w:t xml:space="preserve"> p</w:t>
            </w:r>
            <w:r w:rsidRPr="00FF2BF4">
              <w:rPr>
                <w:sz w:val="20"/>
                <w:szCs w:val="20"/>
              </w:rPr>
              <w:t>rogr</w:t>
            </w:r>
            <w:r w:rsidR="00802C5D" w:rsidRPr="00FF2BF4">
              <w:rPr>
                <w:sz w:val="20"/>
                <w:szCs w:val="20"/>
              </w:rPr>
              <w:t>a</w:t>
            </w:r>
            <w:r w:rsidRPr="00FF2BF4">
              <w:rPr>
                <w:sz w:val="20"/>
                <w:szCs w:val="20"/>
              </w:rPr>
              <w:t xml:space="preserve">m </w:t>
            </w:r>
            <w:r w:rsidR="00174F20" w:rsidRPr="00FF2BF4">
              <w:rPr>
                <w:sz w:val="20"/>
                <w:szCs w:val="20"/>
              </w:rPr>
              <w:t>a</w:t>
            </w:r>
            <w:r w:rsidRPr="00FF2BF4">
              <w:rPr>
                <w:sz w:val="20"/>
                <w:szCs w:val="20"/>
              </w:rPr>
              <w:t>ssessment</w:t>
            </w:r>
            <w:r w:rsidR="00174F20" w:rsidRPr="00FF2BF4">
              <w:rPr>
                <w:sz w:val="20"/>
                <w:szCs w:val="20"/>
              </w:rPr>
              <w:t>(s)</w:t>
            </w:r>
            <w:r w:rsidRPr="00FF2BF4">
              <w:rPr>
                <w:sz w:val="20"/>
                <w:szCs w:val="20"/>
              </w:rPr>
              <w:t xml:space="preserve"> </w:t>
            </w:r>
            <w:r w:rsidR="00E9259D" w:rsidRPr="00FF2BF4">
              <w:rPr>
                <w:sz w:val="20"/>
                <w:szCs w:val="20"/>
              </w:rPr>
              <w:t>cited for this standard</w:t>
            </w:r>
            <w:r w:rsidR="001F787E" w:rsidRPr="00FF2BF4">
              <w:rPr>
                <w:sz w:val="20"/>
                <w:szCs w:val="20"/>
              </w:rPr>
              <w:t xml:space="preserve"> are missing, incomplete</w:t>
            </w:r>
            <w:r w:rsidRPr="00FF2BF4">
              <w:rPr>
                <w:sz w:val="20"/>
                <w:szCs w:val="20"/>
              </w:rPr>
              <w:t>, or not coordinated</w:t>
            </w:r>
            <w:r w:rsidR="001F787E" w:rsidRPr="00FF2BF4">
              <w:rPr>
                <w:sz w:val="20"/>
                <w:szCs w:val="20"/>
              </w:rPr>
              <w:t xml:space="preserve"> with each other</w:t>
            </w:r>
          </w:p>
        </w:tc>
        <w:tc>
          <w:tcPr>
            <w:tcW w:w="2448" w:type="dxa"/>
          </w:tcPr>
          <w:p w:rsidR="001F787E" w:rsidRDefault="00A43428" w:rsidP="00017647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n</w:t>
            </w:r>
            <w:r w:rsidR="00082D12" w:rsidRPr="00FF2BF4">
              <w:rPr>
                <w:sz w:val="20"/>
                <w:szCs w:val="20"/>
              </w:rPr>
              <w:t>arrative descriptions a</w:t>
            </w:r>
            <w:r w:rsidR="00C90767" w:rsidRPr="00FF2BF4">
              <w:rPr>
                <w:sz w:val="20"/>
                <w:szCs w:val="20"/>
              </w:rPr>
              <w:t xml:space="preserve">nd scoring guides </w:t>
            </w:r>
            <w:r w:rsidRPr="00FF2BF4">
              <w:rPr>
                <w:sz w:val="20"/>
                <w:szCs w:val="20"/>
              </w:rPr>
              <w:t xml:space="preserve">for the program assessment(s) </w:t>
            </w:r>
            <w:r w:rsidR="00C90767" w:rsidRPr="00FF2BF4">
              <w:rPr>
                <w:sz w:val="20"/>
                <w:szCs w:val="20"/>
              </w:rPr>
              <w:t xml:space="preserve">are present, </w:t>
            </w:r>
            <w:r w:rsidR="00017647">
              <w:rPr>
                <w:sz w:val="20"/>
                <w:szCs w:val="20"/>
              </w:rPr>
              <w:t xml:space="preserve">but </w:t>
            </w:r>
            <w:r w:rsidR="0069642F" w:rsidRPr="00FF2BF4">
              <w:rPr>
                <w:sz w:val="20"/>
                <w:szCs w:val="20"/>
              </w:rPr>
              <w:t>incomplete</w:t>
            </w:r>
            <w:r w:rsidR="008450A1" w:rsidRPr="00FF2BF4">
              <w:rPr>
                <w:sz w:val="20"/>
                <w:szCs w:val="20"/>
              </w:rPr>
              <w:t xml:space="preserve"> or not coordinated </w:t>
            </w:r>
            <w:r w:rsidR="001F787E" w:rsidRPr="00FF2BF4">
              <w:rPr>
                <w:sz w:val="20"/>
                <w:szCs w:val="20"/>
              </w:rPr>
              <w:t>with other components</w:t>
            </w:r>
            <w:r w:rsidR="00C90767" w:rsidRPr="00FF2BF4">
              <w:rPr>
                <w:sz w:val="20"/>
                <w:szCs w:val="20"/>
              </w:rPr>
              <w:t>,</w:t>
            </w:r>
          </w:p>
          <w:p w:rsidR="00017647" w:rsidRDefault="00017647" w:rsidP="0001764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017647" w:rsidRPr="00FF2BF4" w:rsidRDefault="00017647" w:rsidP="00017647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narrative descriptions and scoring guides for the program assessment(s) are present, </w:t>
            </w:r>
            <w:r>
              <w:rPr>
                <w:sz w:val="20"/>
                <w:szCs w:val="20"/>
              </w:rPr>
              <w:t xml:space="preserve">but </w:t>
            </w:r>
            <w:r w:rsidRPr="00FF2BF4">
              <w:rPr>
                <w:sz w:val="20"/>
                <w:szCs w:val="20"/>
              </w:rPr>
              <w:t>complete</w:t>
            </w:r>
            <w:r>
              <w:rPr>
                <w:sz w:val="20"/>
                <w:szCs w:val="20"/>
              </w:rPr>
              <w:t xml:space="preserve"> and </w:t>
            </w:r>
            <w:r w:rsidRPr="00FF2BF4">
              <w:rPr>
                <w:sz w:val="20"/>
                <w:szCs w:val="20"/>
              </w:rPr>
              <w:t>coordinated with other components,</w:t>
            </w:r>
            <w:r>
              <w:rPr>
                <w:sz w:val="20"/>
                <w:szCs w:val="20"/>
              </w:rPr>
              <w:t xml:space="preserve"> but the </w:t>
            </w:r>
            <w:r w:rsidRPr="00FF2BF4">
              <w:rPr>
                <w:sz w:val="20"/>
                <w:szCs w:val="20"/>
              </w:rPr>
              <w:t xml:space="preserve">data for the program assessment(s) is missing </w:t>
            </w:r>
            <w:r w:rsidRPr="00FF2BF4">
              <w:rPr>
                <w:sz w:val="20"/>
                <w:szCs w:val="20"/>
              </w:rPr>
              <w:lastRenderedPageBreak/>
              <w:t>or incomplete.</w:t>
            </w:r>
          </w:p>
        </w:tc>
        <w:tc>
          <w:tcPr>
            <w:tcW w:w="2427" w:type="dxa"/>
          </w:tcPr>
          <w:p w:rsidR="001F787E" w:rsidRPr="00FF2BF4" w:rsidRDefault="00BC75AC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lastRenderedPageBreak/>
              <w:t>The c</w:t>
            </w:r>
            <w:r w:rsidR="001F787E" w:rsidRPr="00FF2BF4">
              <w:rPr>
                <w:sz w:val="20"/>
                <w:szCs w:val="20"/>
              </w:rPr>
              <w:t>omponents of the program assessment</w:t>
            </w:r>
            <w:r w:rsidR="00802C5D" w:rsidRPr="00FF2BF4">
              <w:rPr>
                <w:sz w:val="20"/>
                <w:szCs w:val="20"/>
              </w:rPr>
              <w:t>(s)</w:t>
            </w:r>
            <w:r w:rsidR="001F787E" w:rsidRPr="00FF2BF4">
              <w:rPr>
                <w:sz w:val="20"/>
                <w:szCs w:val="20"/>
              </w:rPr>
              <w:t xml:space="preserve"> are pre</w:t>
            </w:r>
            <w:r w:rsidR="0069642F" w:rsidRPr="00FF2BF4">
              <w:rPr>
                <w:sz w:val="20"/>
                <w:szCs w:val="20"/>
              </w:rPr>
              <w:t>sent, complete</w:t>
            </w:r>
            <w:r w:rsidR="008450A1" w:rsidRPr="00FF2BF4">
              <w:rPr>
                <w:sz w:val="20"/>
                <w:szCs w:val="20"/>
              </w:rPr>
              <w:t>, and coordinated</w:t>
            </w:r>
            <w:r w:rsidR="001F787E" w:rsidRPr="00FF2BF4">
              <w:rPr>
                <w:sz w:val="20"/>
                <w:szCs w:val="20"/>
              </w:rPr>
              <w:t xml:space="preserve"> with each other.</w:t>
            </w:r>
          </w:p>
        </w:tc>
      </w:tr>
      <w:tr w:rsidR="00F17E7A" w:rsidRPr="00FF2BF4" w:rsidTr="00E95C90">
        <w:trPr>
          <w:tblCellSpacing w:w="21" w:type="dxa"/>
          <w:jc w:val="center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1F787E" w:rsidRPr="00FF2BF4" w:rsidRDefault="008F0349" w:rsidP="00FF2B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lastRenderedPageBreak/>
              <w:t>Assessment Content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F17E7A" w:rsidRPr="00FF2BF4" w:rsidRDefault="0069642F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content of the p</w:t>
            </w:r>
            <w:r w:rsidR="001F787E" w:rsidRPr="00FF2BF4">
              <w:rPr>
                <w:sz w:val="20"/>
                <w:szCs w:val="20"/>
              </w:rPr>
              <w:t>rogram assessment</w:t>
            </w:r>
            <w:r w:rsidRPr="00FF2BF4">
              <w:rPr>
                <w:sz w:val="20"/>
                <w:szCs w:val="20"/>
              </w:rPr>
              <w:t xml:space="preserve">(s) </w:t>
            </w:r>
            <w:r w:rsidR="00241237" w:rsidRPr="00FF2BF4">
              <w:rPr>
                <w:sz w:val="20"/>
                <w:szCs w:val="20"/>
              </w:rPr>
              <w:t xml:space="preserve">content </w:t>
            </w:r>
            <w:r w:rsidR="001F787E" w:rsidRPr="00FF2BF4">
              <w:rPr>
                <w:sz w:val="20"/>
                <w:szCs w:val="20"/>
              </w:rPr>
              <w:t>do</w:t>
            </w:r>
            <w:r w:rsidR="001A66F4" w:rsidRPr="00FF2BF4">
              <w:rPr>
                <w:sz w:val="20"/>
                <w:szCs w:val="20"/>
              </w:rPr>
              <w:t>es</w:t>
            </w:r>
            <w:r w:rsidR="001F787E" w:rsidRPr="00FF2BF4">
              <w:rPr>
                <w:sz w:val="20"/>
                <w:szCs w:val="20"/>
              </w:rPr>
              <w:t xml:space="preserve"> not align with or do</w:t>
            </w:r>
            <w:r w:rsidR="008450A1" w:rsidRPr="00FF2BF4">
              <w:rPr>
                <w:sz w:val="20"/>
                <w:szCs w:val="20"/>
              </w:rPr>
              <w:t>es</w:t>
            </w:r>
            <w:r w:rsidR="00241237" w:rsidRPr="00FF2BF4">
              <w:rPr>
                <w:sz w:val="20"/>
                <w:szCs w:val="20"/>
              </w:rPr>
              <w:t xml:space="preserve"> not appropriately assess</w:t>
            </w:r>
            <w:r w:rsidR="001F787E" w:rsidRPr="00FF2BF4">
              <w:rPr>
                <w:sz w:val="20"/>
                <w:szCs w:val="20"/>
              </w:rPr>
              <w:t xml:space="preserve"> the depth and breadth of a preponderance of the elements </w:t>
            </w:r>
            <w:r w:rsidR="00475DB5" w:rsidRPr="00FF2BF4">
              <w:rPr>
                <w:sz w:val="20"/>
                <w:szCs w:val="20"/>
              </w:rPr>
              <w:t xml:space="preserve">of </w:t>
            </w:r>
            <w:r w:rsidR="00A43428" w:rsidRPr="00FF2BF4">
              <w:rPr>
                <w:sz w:val="20"/>
                <w:szCs w:val="20"/>
              </w:rPr>
              <w:t xml:space="preserve">the </w:t>
            </w:r>
            <w:r w:rsidRPr="00FF2BF4">
              <w:rPr>
                <w:sz w:val="20"/>
                <w:szCs w:val="20"/>
              </w:rPr>
              <w:t xml:space="preserve">CEC </w:t>
            </w:r>
            <w:r w:rsidR="001F787E" w:rsidRPr="00FF2BF4">
              <w:rPr>
                <w:sz w:val="20"/>
                <w:szCs w:val="20"/>
              </w:rPr>
              <w:t>Standard</w:t>
            </w:r>
            <w:r w:rsidR="00CD18E9" w:rsidRPr="00FF2BF4">
              <w:rPr>
                <w:sz w:val="20"/>
                <w:szCs w:val="20"/>
              </w:rPr>
              <w:t xml:space="preserve"> </w:t>
            </w:r>
            <w:r w:rsidR="00364E08" w:rsidRPr="00FF2BF4">
              <w:rPr>
                <w:sz w:val="20"/>
                <w:szCs w:val="20"/>
              </w:rPr>
              <w:t>as informed by the specialty set</w:t>
            </w:r>
            <w:r w:rsidR="00475DB5" w:rsidRPr="00FF2BF4">
              <w:rPr>
                <w:sz w:val="20"/>
                <w:szCs w:val="20"/>
              </w:rPr>
              <w:t xml:space="preserve"> for the area(s) of preparation</w:t>
            </w:r>
            <w:r w:rsidR="004B0266" w:rsidRPr="00FF2BF4">
              <w:rPr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F17E7A" w:rsidRPr="00FF2BF4" w:rsidRDefault="0069642F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content of the p</w:t>
            </w:r>
            <w:r w:rsidR="00364E08" w:rsidRPr="00FF2BF4">
              <w:rPr>
                <w:sz w:val="20"/>
                <w:szCs w:val="20"/>
              </w:rPr>
              <w:t>rogram assessment</w:t>
            </w:r>
            <w:r w:rsidRPr="00FF2BF4">
              <w:rPr>
                <w:sz w:val="20"/>
                <w:szCs w:val="20"/>
              </w:rPr>
              <w:t>(s)</w:t>
            </w:r>
            <w:r w:rsidR="00364E08" w:rsidRPr="00FF2BF4">
              <w:rPr>
                <w:sz w:val="20"/>
                <w:szCs w:val="20"/>
              </w:rPr>
              <w:t xml:space="preserve"> </w:t>
            </w:r>
            <w:r w:rsidR="00241237" w:rsidRPr="00FF2BF4">
              <w:rPr>
                <w:sz w:val="20"/>
                <w:szCs w:val="20"/>
              </w:rPr>
              <w:t xml:space="preserve">content </w:t>
            </w:r>
            <w:r w:rsidRPr="00FF2BF4">
              <w:rPr>
                <w:sz w:val="20"/>
                <w:szCs w:val="20"/>
              </w:rPr>
              <w:t xml:space="preserve">aligns </w:t>
            </w:r>
            <w:r w:rsidR="00364E08" w:rsidRPr="00FF2BF4">
              <w:rPr>
                <w:sz w:val="20"/>
                <w:szCs w:val="20"/>
              </w:rPr>
              <w:t xml:space="preserve">inconsistently or incompletely with </w:t>
            </w:r>
            <w:r w:rsidR="00C2250F" w:rsidRPr="00FF2BF4">
              <w:rPr>
                <w:sz w:val="20"/>
                <w:szCs w:val="20"/>
              </w:rPr>
              <w:t>or</w:t>
            </w:r>
            <w:r w:rsidRPr="00FF2BF4">
              <w:rPr>
                <w:sz w:val="20"/>
                <w:szCs w:val="20"/>
              </w:rPr>
              <w:t xml:space="preserve"> it</w:t>
            </w:r>
            <w:r w:rsidR="00364E08" w:rsidRPr="00FF2BF4">
              <w:rPr>
                <w:sz w:val="20"/>
                <w:szCs w:val="20"/>
              </w:rPr>
              <w:t xml:space="preserve"> inconsistently assesses the depth and breadth of the elements of the</w:t>
            </w:r>
            <w:r w:rsidR="000B71F3" w:rsidRPr="00FF2BF4">
              <w:rPr>
                <w:sz w:val="20"/>
                <w:szCs w:val="20"/>
              </w:rPr>
              <w:t xml:space="preserve"> </w:t>
            </w:r>
            <w:r w:rsidRPr="00FF2BF4">
              <w:rPr>
                <w:sz w:val="20"/>
                <w:szCs w:val="20"/>
              </w:rPr>
              <w:t xml:space="preserve">CEC </w:t>
            </w:r>
            <w:r w:rsidR="000B71F3" w:rsidRPr="00FF2BF4">
              <w:rPr>
                <w:sz w:val="20"/>
                <w:szCs w:val="20"/>
              </w:rPr>
              <w:t>Standard</w:t>
            </w:r>
            <w:r w:rsidR="00364E08" w:rsidRPr="00FF2BF4">
              <w:rPr>
                <w:sz w:val="20"/>
                <w:szCs w:val="20"/>
              </w:rPr>
              <w:t xml:space="preserve"> as informed by the specialty set</w:t>
            </w:r>
            <w:r w:rsidR="00174F20" w:rsidRPr="00FF2BF4">
              <w:rPr>
                <w:sz w:val="20"/>
                <w:szCs w:val="20"/>
              </w:rPr>
              <w:t xml:space="preserve"> for the area(s) of preparation</w:t>
            </w:r>
            <w:r w:rsidR="004B0266" w:rsidRPr="00FF2BF4">
              <w:rPr>
                <w:sz w:val="20"/>
                <w:szCs w:val="20"/>
              </w:rPr>
              <w:t>.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F17E7A" w:rsidRPr="00FF2BF4" w:rsidRDefault="00364E08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Program assessment content consistently aligns with and assesses </w:t>
            </w:r>
            <w:r w:rsidR="00C2250F" w:rsidRPr="00FF2BF4">
              <w:rPr>
                <w:sz w:val="20"/>
                <w:szCs w:val="20"/>
              </w:rPr>
              <w:t xml:space="preserve">the </w:t>
            </w:r>
            <w:r w:rsidRPr="00FF2BF4">
              <w:rPr>
                <w:sz w:val="20"/>
                <w:szCs w:val="20"/>
              </w:rPr>
              <w:t xml:space="preserve">depth and breadth of </w:t>
            </w:r>
            <w:r w:rsidR="00037DE9" w:rsidRPr="00FF2BF4">
              <w:rPr>
                <w:sz w:val="20"/>
                <w:szCs w:val="20"/>
              </w:rPr>
              <w:t>the elements</w:t>
            </w:r>
            <w:r w:rsidRPr="00FF2BF4">
              <w:rPr>
                <w:sz w:val="20"/>
                <w:szCs w:val="20"/>
              </w:rPr>
              <w:t xml:space="preserve"> of the cited </w:t>
            </w:r>
            <w:r w:rsidR="0069642F" w:rsidRPr="00FF2BF4">
              <w:rPr>
                <w:sz w:val="20"/>
                <w:szCs w:val="20"/>
              </w:rPr>
              <w:t xml:space="preserve">CEC </w:t>
            </w:r>
            <w:r w:rsidR="000B71F3" w:rsidRPr="00FF2BF4">
              <w:rPr>
                <w:sz w:val="20"/>
                <w:szCs w:val="20"/>
              </w:rPr>
              <w:t>Standard</w:t>
            </w:r>
            <w:r w:rsidRPr="00FF2BF4">
              <w:rPr>
                <w:sz w:val="20"/>
                <w:szCs w:val="20"/>
              </w:rPr>
              <w:t xml:space="preserve"> as informed by the specialty set</w:t>
            </w:r>
            <w:r w:rsidR="004B0266" w:rsidRPr="00FF2BF4">
              <w:rPr>
                <w:sz w:val="20"/>
                <w:szCs w:val="20"/>
              </w:rPr>
              <w:t xml:space="preserve"> for the area(s) of preparation.</w:t>
            </w:r>
          </w:p>
        </w:tc>
      </w:tr>
      <w:tr w:rsidR="003C24D8" w:rsidRPr="00FF2BF4" w:rsidTr="00E95C90">
        <w:trPr>
          <w:tblCellSpacing w:w="21" w:type="dxa"/>
          <w:jc w:val="center"/>
        </w:trPr>
        <w:tc>
          <w:tcPr>
            <w:tcW w:w="1827" w:type="dxa"/>
            <w:vMerge w:val="restart"/>
            <w:vAlign w:val="center"/>
          </w:tcPr>
          <w:p w:rsidR="00BC75AC" w:rsidRPr="00FF2BF4" w:rsidRDefault="003C24D8" w:rsidP="00FF2B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Scoring Guides</w:t>
            </w:r>
            <w:r w:rsidR="00BC75AC" w:rsidRPr="00FF2BF4">
              <w:rPr>
                <w:b/>
                <w:bCs/>
                <w:sz w:val="20"/>
                <w:szCs w:val="20"/>
              </w:rPr>
              <w:t>/</w:t>
            </w:r>
          </w:p>
          <w:p w:rsidR="003C24D8" w:rsidRPr="00FF2BF4" w:rsidRDefault="00BC75AC" w:rsidP="00FF2B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Rubrics</w:t>
            </w:r>
          </w:p>
        </w:tc>
        <w:tc>
          <w:tcPr>
            <w:tcW w:w="2448" w:type="dxa"/>
          </w:tcPr>
          <w:p w:rsidR="003C1F2D" w:rsidRDefault="003C24D8" w:rsidP="00191099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scoring </w:t>
            </w:r>
            <w:r w:rsidR="00D07729" w:rsidRPr="00FF2BF4">
              <w:rPr>
                <w:sz w:val="20"/>
                <w:szCs w:val="20"/>
              </w:rPr>
              <w:t>rubric/</w:t>
            </w:r>
            <w:r w:rsidRPr="00FF2BF4">
              <w:rPr>
                <w:sz w:val="20"/>
                <w:szCs w:val="20"/>
              </w:rPr>
              <w:t xml:space="preserve">guide does not clearly describe </w:t>
            </w:r>
            <w:r w:rsidR="00A44686" w:rsidRPr="00FF2BF4">
              <w:rPr>
                <w:sz w:val="20"/>
                <w:szCs w:val="20"/>
              </w:rPr>
              <w:t xml:space="preserve">performance </w:t>
            </w:r>
            <w:r w:rsidRPr="00FF2BF4">
              <w:rPr>
                <w:sz w:val="20"/>
                <w:szCs w:val="20"/>
              </w:rPr>
              <w:t>expectations for each distinct level of candidate mastery</w:t>
            </w:r>
            <w:r w:rsidR="00285CF9">
              <w:rPr>
                <w:sz w:val="20"/>
                <w:szCs w:val="20"/>
              </w:rPr>
              <w:t xml:space="preserve"> in relation to</w:t>
            </w:r>
            <w:r w:rsidR="00A44686" w:rsidRPr="00FF2BF4">
              <w:rPr>
                <w:sz w:val="20"/>
                <w:szCs w:val="20"/>
              </w:rPr>
              <w:t xml:space="preserve"> the elements of the </w:t>
            </w:r>
            <w:r w:rsidR="00285CF9">
              <w:rPr>
                <w:sz w:val="20"/>
                <w:szCs w:val="20"/>
              </w:rPr>
              <w:t xml:space="preserve">cited </w:t>
            </w:r>
            <w:r w:rsidR="00191099" w:rsidRPr="00FF2BF4">
              <w:rPr>
                <w:sz w:val="20"/>
                <w:szCs w:val="20"/>
              </w:rPr>
              <w:t>CEC Standard as informed by the specialty set</w:t>
            </w:r>
            <w:r w:rsidR="00285CF9">
              <w:rPr>
                <w:sz w:val="20"/>
                <w:szCs w:val="20"/>
              </w:rPr>
              <w:t>.</w:t>
            </w:r>
          </w:p>
          <w:p w:rsidR="00191099" w:rsidRDefault="00191099" w:rsidP="00191099">
            <w:pPr>
              <w:spacing w:after="0"/>
              <w:jc w:val="left"/>
              <w:rPr>
                <w:sz w:val="20"/>
                <w:szCs w:val="20"/>
              </w:rPr>
            </w:pPr>
          </w:p>
          <w:p w:rsidR="00191099" w:rsidRPr="00FF2BF4" w:rsidRDefault="00191099" w:rsidP="00191099">
            <w:pPr>
              <w:spacing w:after="0"/>
              <w:jc w:val="left"/>
              <w:rPr>
                <w:sz w:val="20"/>
                <w:szCs w:val="20"/>
              </w:rPr>
            </w:pPr>
          </w:p>
          <w:p w:rsidR="003C24D8" w:rsidRPr="00FF2BF4" w:rsidRDefault="003C24D8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O</w:t>
            </w:r>
            <w:r w:rsidR="0069642F" w:rsidRPr="00FF2BF4">
              <w:rPr>
                <w:sz w:val="20"/>
                <w:szCs w:val="20"/>
              </w:rPr>
              <w:t>R</w:t>
            </w:r>
          </w:p>
        </w:tc>
        <w:tc>
          <w:tcPr>
            <w:tcW w:w="2448" w:type="dxa"/>
          </w:tcPr>
          <w:p w:rsidR="003C24D8" w:rsidRPr="00FF2BF4" w:rsidRDefault="00037DE9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</w:t>
            </w:r>
            <w:r w:rsidR="00D07729" w:rsidRPr="00FF2BF4">
              <w:rPr>
                <w:sz w:val="20"/>
                <w:szCs w:val="20"/>
              </w:rPr>
              <w:t xml:space="preserve">rubric/ scoring </w:t>
            </w:r>
            <w:r w:rsidRPr="00FF2BF4">
              <w:rPr>
                <w:sz w:val="20"/>
                <w:szCs w:val="20"/>
              </w:rPr>
              <w:t xml:space="preserve">guide describes the </w:t>
            </w:r>
            <w:r w:rsidR="00A44686" w:rsidRPr="00FF2BF4">
              <w:rPr>
                <w:sz w:val="20"/>
                <w:szCs w:val="20"/>
              </w:rPr>
              <w:t xml:space="preserve">performance </w:t>
            </w:r>
            <w:r w:rsidRPr="00FF2BF4">
              <w:rPr>
                <w:sz w:val="20"/>
                <w:szCs w:val="20"/>
              </w:rPr>
              <w:t>expectations for each distinct level of candidate mastery</w:t>
            </w:r>
            <w:r w:rsidR="00A44686" w:rsidRPr="00FF2BF4">
              <w:rPr>
                <w:sz w:val="20"/>
                <w:szCs w:val="20"/>
              </w:rPr>
              <w:t xml:space="preserve"> in relation to the elements of the </w:t>
            </w:r>
            <w:r w:rsidR="00191099" w:rsidRPr="00FF2BF4">
              <w:rPr>
                <w:sz w:val="20"/>
                <w:szCs w:val="20"/>
              </w:rPr>
              <w:t xml:space="preserve">CEC Standard as informed by the specialty set </w:t>
            </w:r>
            <w:r w:rsidRPr="00FF2BF4">
              <w:rPr>
                <w:sz w:val="20"/>
                <w:szCs w:val="20"/>
              </w:rPr>
              <w:t>too broad</w:t>
            </w:r>
            <w:r w:rsidR="00241237" w:rsidRPr="00FF2BF4">
              <w:rPr>
                <w:sz w:val="20"/>
                <w:szCs w:val="20"/>
              </w:rPr>
              <w:t>ly</w:t>
            </w:r>
            <w:r w:rsidR="009272D1" w:rsidRPr="00FF2BF4">
              <w:rPr>
                <w:sz w:val="20"/>
                <w:szCs w:val="20"/>
              </w:rPr>
              <w:t xml:space="preserve"> or</w:t>
            </w:r>
            <w:r w:rsidRPr="00FF2BF4">
              <w:rPr>
                <w:sz w:val="20"/>
                <w:szCs w:val="20"/>
              </w:rPr>
              <w:t xml:space="preserve"> </w:t>
            </w:r>
            <w:r w:rsidR="00285CF9">
              <w:rPr>
                <w:sz w:val="20"/>
                <w:szCs w:val="20"/>
              </w:rPr>
              <w:t>subjectively.</w:t>
            </w:r>
          </w:p>
          <w:p w:rsidR="003C1F2D" w:rsidRPr="00FF2BF4" w:rsidRDefault="003C1F2D" w:rsidP="00FF2BF4">
            <w:pPr>
              <w:spacing w:after="0"/>
              <w:jc w:val="left"/>
              <w:rPr>
                <w:sz w:val="20"/>
                <w:szCs w:val="20"/>
              </w:rPr>
            </w:pPr>
          </w:p>
          <w:p w:rsidR="003C24D8" w:rsidRPr="00FF2BF4" w:rsidRDefault="0069642F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OR</w:t>
            </w:r>
          </w:p>
        </w:tc>
        <w:tc>
          <w:tcPr>
            <w:tcW w:w="2427" w:type="dxa"/>
          </w:tcPr>
          <w:p w:rsidR="003C24D8" w:rsidRPr="00FF2BF4" w:rsidRDefault="003C24D8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</w:t>
            </w:r>
            <w:r w:rsidR="00BC75AC" w:rsidRPr="00FF2BF4">
              <w:rPr>
                <w:sz w:val="20"/>
                <w:szCs w:val="20"/>
              </w:rPr>
              <w:t>rubric/</w:t>
            </w:r>
            <w:r w:rsidRPr="00FF2BF4">
              <w:rPr>
                <w:sz w:val="20"/>
                <w:szCs w:val="20"/>
              </w:rPr>
              <w:t xml:space="preserve">scoring guide clearly and consistently describes </w:t>
            </w:r>
            <w:r w:rsidR="00A44686" w:rsidRPr="00FF2BF4">
              <w:rPr>
                <w:sz w:val="20"/>
                <w:szCs w:val="20"/>
              </w:rPr>
              <w:t xml:space="preserve">performance </w:t>
            </w:r>
            <w:r w:rsidRPr="00FF2BF4">
              <w:rPr>
                <w:sz w:val="20"/>
                <w:szCs w:val="20"/>
              </w:rPr>
              <w:t xml:space="preserve">expectations for each distinct level of candidate mastery </w:t>
            </w:r>
            <w:r w:rsidR="00A44686" w:rsidRPr="00FF2BF4">
              <w:rPr>
                <w:sz w:val="20"/>
                <w:szCs w:val="20"/>
              </w:rPr>
              <w:t xml:space="preserve">in </w:t>
            </w:r>
            <w:r w:rsidR="00191099">
              <w:rPr>
                <w:sz w:val="20"/>
                <w:szCs w:val="20"/>
              </w:rPr>
              <w:t>relation to the elements of the</w:t>
            </w:r>
            <w:r w:rsidR="00191099" w:rsidRPr="00FF2BF4">
              <w:rPr>
                <w:sz w:val="20"/>
                <w:szCs w:val="20"/>
              </w:rPr>
              <w:t xml:space="preserve"> CEC Standard as informed by the specialty set </w:t>
            </w:r>
            <w:r w:rsidRPr="00FF2BF4">
              <w:rPr>
                <w:sz w:val="20"/>
                <w:szCs w:val="20"/>
              </w:rPr>
              <w:t xml:space="preserve">allowing objective and unbiased judgments. </w:t>
            </w:r>
          </w:p>
          <w:p w:rsidR="003C24D8" w:rsidRPr="00FF2BF4" w:rsidRDefault="0069642F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AND</w:t>
            </w:r>
          </w:p>
        </w:tc>
      </w:tr>
      <w:tr w:rsidR="003C24D8" w:rsidRPr="00FF2BF4" w:rsidTr="00E95C90">
        <w:trPr>
          <w:tblCellSpacing w:w="21" w:type="dxa"/>
          <w:jc w:val="center"/>
        </w:trPr>
        <w:tc>
          <w:tcPr>
            <w:tcW w:w="1827" w:type="dxa"/>
            <w:vMerge/>
            <w:vAlign w:val="center"/>
          </w:tcPr>
          <w:p w:rsidR="003C24D8" w:rsidRPr="00FF2BF4" w:rsidRDefault="003C24D8" w:rsidP="00FF2B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3C24D8" w:rsidRPr="00FF2BF4" w:rsidRDefault="003C24D8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scoring guide/rubric does not align with the elements of the cited Standard as informed by the specialty set</w:t>
            </w:r>
          </w:p>
        </w:tc>
        <w:tc>
          <w:tcPr>
            <w:tcW w:w="2448" w:type="dxa"/>
          </w:tcPr>
          <w:p w:rsidR="003C24D8" w:rsidRPr="00FF2BF4" w:rsidRDefault="003C24D8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scoring guide/rubric inconsistently or incompletely aligns with  the elements of the cited Standard as informed by the specialty set</w:t>
            </w:r>
          </w:p>
        </w:tc>
        <w:tc>
          <w:tcPr>
            <w:tcW w:w="2427" w:type="dxa"/>
          </w:tcPr>
          <w:p w:rsidR="003C24D8" w:rsidRPr="00FF2BF4" w:rsidRDefault="003C24D8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scoring guide/rubric consistently and completely aligns with the elements of the cited Standard as informed by the specialty set</w:t>
            </w:r>
          </w:p>
        </w:tc>
      </w:tr>
      <w:tr w:rsidR="003C1F2D" w:rsidRPr="00FF2BF4" w:rsidTr="00E95C90">
        <w:trPr>
          <w:trHeight w:val="979"/>
          <w:tblCellSpacing w:w="21" w:type="dxa"/>
          <w:jc w:val="center"/>
        </w:trPr>
        <w:tc>
          <w:tcPr>
            <w:tcW w:w="1827" w:type="dxa"/>
            <w:vMerge w:val="restart"/>
            <w:shd w:val="clear" w:color="auto" w:fill="D9D9D9" w:themeFill="background1" w:themeFillShade="D9"/>
            <w:vAlign w:val="center"/>
          </w:tcPr>
          <w:p w:rsidR="003C1F2D" w:rsidRPr="00FF2BF4" w:rsidRDefault="003C1F2D" w:rsidP="00FF2B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F2BF4">
              <w:rPr>
                <w:b/>
                <w:bCs/>
                <w:sz w:val="20"/>
                <w:szCs w:val="20"/>
              </w:rPr>
              <w:t>Candidate Performance Data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3C1F2D" w:rsidRPr="00FF2BF4" w:rsidRDefault="003C1F2D" w:rsidP="00285CF9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data are not disaggregated by program, application, and, if appropriate by program location</w:t>
            </w:r>
          </w:p>
          <w:p w:rsidR="003C1F2D" w:rsidRPr="00FF2BF4" w:rsidRDefault="003C1F2D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OR</w:t>
            </w:r>
            <w:r w:rsidRPr="00FF2BF4" w:rsidDel="001660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3C1F2D" w:rsidRPr="00FF2BF4" w:rsidRDefault="003C1F2D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data are only partially disaggregated by program, application, and, if appropriate by program location</w:t>
            </w:r>
          </w:p>
          <w:p w:rsidR="003C1F2D" w:rsidRPr="00FF2BF4" w:rsidRDefault="003C1F2D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OR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3C1F2D" w:rsidRPr="00FF2BF4" w:rsidRDefault="003C1F2D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The data are consistently disaggregated by program, application, and, if appropriate by program location</w:t>
            </w:r>
          </w:p>
          <w:p w:rsidR="003C1F2D" w:rsidRPr="00FF2BF4" w:rsidRDefault="003C1F2D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AND</w:t>
            </w:r>
          </w:p>
        </w:tc>
      </w:tr>
      <w:tr w:rsidR="0016607A" w:rsidRPr="00FF2BF4" w:rsidTr="00E95C90">
        <w:trPr>
          <w:tblCellSpacing w:w="21" w:type="dxa"/>
          <w:jc w:val="center"/>
        </w:trPr>
        <w:tc>
          <w:tcPr>
            <w:tcW w:w="1827" w:type="dxa"/>
            <w:vMerge/>
            <w:shd w:val="clear" w:color="auto" w:fill="D9D9D9" w:themeFill="background1" w:themeFillShade="D9"/>
            <w:vAlign w:val="center"/>
          </w:tcPr>
          <w:p w:rsidR="0016607A" w:rsidRPr="00FF2BF4" w:rsidRDefault="0016607A" w:rsidP="00FF2B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</w:tcPr>
          <w:p w:rsidR="003C1F2D" w:rsidRPr="00FF2BF4" w:rsidRDefault="0069642F" w:rsidP="00285CF9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data are </w:t>
            </w:r>
            <w:r w:rsidR="0016607A" w:rsidRPr="00FF2BF4">
              <w:rPr>
                <w:sz w:val="20"/>
                <w:szCs w:val="20"/>
              </w:rPr>
              <w:t>not aggregated to align to the  elements of the cited CEC Preparation Standard as informed by the specialty set</w:t>
            </w:r>
          </w:p>
          <w:p w:rsidR="0016607A" w:rsidRPr="00FF2BF4" w:rsidRDefault="0016607A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OR </w:t>
            </w:r>
          </w:p>
          <w:p w:rsidR="00D61A41" w:rsidRPr="00FF2BF4" w:rsidRDefault="0069642F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data are </w:t>
            </w:r>
            <w:r w:rsidR="0016607A" w:rsidRPr="00FF2BF4">
              <w:rPr>
                <w:sz w:val="20"/>
                <w:szCs w:val="20"/>
              </w:rPr>
              <w:t>not displayed at the same level as collected</w:t>
            </w:r>
          </w:p>
          <w:p w:rsidR="00D61A41" w:rsidRPr="00FF2BF4" w:rsidRDefault="00D61A41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OR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16607A" w:rsidRPr="00FF2BF4" w:rsidRDefault="0069642F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data are </w:t>
            </w:r>
            <w:r w:rsidR="0016607A" w:rsidRPr="00FF2BF4">
              <w:rPr>
                <w:sz w:val="20"/>
                <w:szCs w:val="20"/>
              </w:rPr>
              <w:t>only partially aggregated to align to the  elements of the cited CEC Preparation Standard as informed by the specialty set</w:t>
            </w:r>
          </w:p>
          <w:p w:rsidR="0016607A" w:rsidRPr="00FF2BF4" w:rsidRDefault="0016607A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OR </w:t>
            </w:r>
          </w:p>
          <w:p w:rsidR="00D61A41" w:rsidRPr="00FF2BF4" w:rsidRDefault="0069642F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data are only </w:t>
            </w:r>
            <w:r w:rsidR="0016607A" w:rsidRPr="00FF2BF4">
              <w:rPr>
                <w:sz w:val="20"/>
                <w:szCs w:val="20"/>
              </w:rPr>
              <w:t>partially displayed at the same level as collected</w:t>
            </w:r>
          </w:p>
          <w:p w:rsidR="0016607A" w:rsidRPr="00FF2BF4" w:rsidRDefault="00D61A41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OR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16607A" w:rsidRPr="00FF2BF4" w:rsidRDefault="0069642F" w:rsidP="00FF2BF4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data are consistently </w:t>
            </w:r>
            <w:r w:rsidR="0016607A" w:rsidRPr="00FF2BF4">
              <w:rPr>
                <w:sz w:val="20"/>
                <w:szCs w:val="20"/>
              </w:rPr>
              <w:t>aggregated to align to the  elements of the cited CEC Preparation Standard as informed by the specialty set</w:t>
            </w:r>
          </w:p>
          <w:p w:rsidR="0016607A" w:rsidRPr="00FF2BF4" w:rsidRDefault="00D61A41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AND</w:t>
            </w:r>
          </w:p>
          <w:p w:rsidR="0016607A" w:rsidRPr="00FF2BF4" w:rsidRDefault="0069642F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The data </w:t>
            </w:r>
            <w:r w:rsidR="0016607A" w:rsidRPr="00FF2BF4">
              <w:rPr>
                <w:sz w:val="20"/>
                <w:szCs w:val="20"/>
              </w:rPr>
              <w:t xml:space="preserve">are </w:t>
            </w:r>
            <w:r w:rsidRPr="00FF2BF4">
              <w:rPr>
                <w:sz w:val="20"/>
                <w:szCs w:val="20"/>
              </w:rPr>
              <w:t xml:space="preserve">consistently </w:t>
            </w:r>
            <w:r w:rsidR="0016607A" w:rsidRPr="00FF2BF4">
              <w:rPr>
                <w:sz w:val="20"/>
                <w:szCs w:val="20"/>
              </w:rPr>
              <w:t xml:space="preserve">displayed at the same level as collected </w:t>
            </w:r>
          </w:p>
          <w:p w:rsidR="00D61A41" w:rsidRPr="00FF2BF4" w:rsidRDefault="00D61A41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AND</w:t>
            </w:r>
          </w:p>
        </w:tc>
      </w:tr>
      <w:tr w:rsidR="007558E0" w:rsidRPr="00FF2BF4" w:rsidTr="00E95C90">
        <w:trPr>
          <w:tblCellSpacing w:w="21" w:type="dxa"/>
          <w:jc w:val="center"/>
        </w:trPr>
        <w:tc>
          <w:tcPr>
            <w:tcW w:w="1827" w:type="dxa"/>
            <w:vMerge/>
            <w:shd w:val="clear" w:color="auto" w:fill="D9D9D9" w:themeFill="background1" w:themeFillShade="D9"/>
            <w:vAlign w:val="center"/>
          </w:tcPr>
          <w:p w:rsidR="007558E0" w:rsidRPr="00FF2BF4" w:rsidRDefault="007558E0" w:rsidP="00FF2BF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</w:tcPr>
          <w:p w:rsidR="007558E0" w:rsidRPr="00FF2BF4" w:rsidRDefault="007558E0" w:rsidP="004B343A">
            <w:pPr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>Program assessment(s)</w:t>
            </w:r>
            <w:r w:rsidR="004B343A">
              <w:rPr>
                <w:sz w:val="20"/>
                <w:szCs w:val="20"/>
              </w:rPr>
              <w:t xml:space="preserve"> performance</w:t>
            </w:r>
            <w:r w:rsidRPr="00FF2BF4">
              <w:rPr>
                <w:sz w:val="20"/>
                <w:szCs w:val="20"/>
              </w:rPr>
              <w:t xml:space="preserve"> data do not demonstrate that candidates</w:t>
            </w:r>
            <w:r w:rsidR="00283C49">
              <w:rPr>
                <w:sz w:val="20"/>
                <w:szCs w:val="20"/>
              </w:rPr>
              <w:t xml:space="preserve"> master a preponderance of the </w:t>
            </w:r>
            <w:r w:rsidRPr="00FF2BF4">
              <w:rPr>
                <w:sz w:val="20"/>
                <w:szCs w:val="20"/>
              </w:rPr>
              <w:t>elements for the cited CEC Preparation Standard as informed by the specialty set</w:t>
            </w:r>
            <w:r w:rsidR="004B343A">
              <w:rPr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:rsidR="007558E0" w:rsidRPr="00FF2BF4" w:rsidRDefault="007558E0" w:rsidP="00FF2BF4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Program assessment(s) </w:t>
            </w:r>
            <w:r w:rsidR="004B343A">
              <w:rPr>
                <w:sz w:val="20"/>
                <w:szCs w:val="20"/>
              </w:rPr>
              <w:t>performance</w:t>
            </w:r>
            <w:r w:rsidR="004B343A" w:rsidRPr="00FF2BF4">
              <w:rPr>
                <w:sz w:val="20"/>
                <w:szCs w:val="20"/>
              </w:rPr>
              <w:t xml:space="preserve"> </w:t>
            </w:r>
            <w:r w:rsidRPr="00FF2BF4">
              <w:rPr>
                <w:sz w:val="20"/>
                <w:szCs w:val="20"/>
              </w:rPr>
              <w:t>data is not sufficient to demonstrate candidates</w:t>
            </w:r>
            <w:r w:rsidR="00283C49">
              <w:rPr>
                <w:sz w:val="20"/>
                <w:szCs w:val="20"/>
              </w:rPr>
              <w:t xml:space="preserve"> master a preponderance of the </w:t>
            </w:r>
            <w:r w:rsidRPr="00FF2BF4">
              <w:rPr>
                <w:sz w:val="20"/>
                <w:szCs w:val="20"/>
              </w:rPr>
              <w:t>elements for the cited CEC Preparation Standard as informed by the specialty set</w:t>
            </w:r>
            <w:r w:rsidR="004B343A">
              <w:rPr>
                <w:sz w:val="20"/>
                <w:szCs w:val="20"/>
              </w:rPr>
              <w:t>.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7558E0" w:rsidRPr="00FF2BF4" w:rsidRDefault="007558E0" w:rsidP="004B343A">
            <w:pPr>
              <w:tabs>
                <w:tab w:val="clear" w:pos="720"/>
              </w:tabs>
              <w:spacing w:after="0"/>
              <w:jc w:val="left"/>
              <w:rPr>
                <w:sz w:val="20"/>
                <w:szCs w:val="20"/>
              </w:rPr>
            </w:pPr>
            <w:r w:rsidRPr="00FF2BF4">
              <w:rPr>
                <w:sz w:val="20"/>
                <w:szCs w:val="20"/>
              </w:rPr>
              <w:t xml:space="preserve">Program assessment(s) </w:t>
            </w:r>
            <w:r w:rsidR="004B343A">
              <w:rPr>
                <w:sz w:val="20"/>
                <w:szCs w:val="20"/>
              </w:rPr>
              <w:t>performance</w:t>
            </w:r>
            <w:r w:rsidR="004B343A" w:rsidRPr="00FF2BF4">
              <w:rPr>
                <w:sz w:val="20"/>
                <w:szCs w:val="20"/>
              </w:rPr>
              <w:t xml:space="preserve"> </w:t>
            </w:r>
            <w:r w:rsidRPr="00FF2BF4">
              <w:rPr>
                <w:sz w:val="20"/>
                <w:szCs w:val="20"/>
              </w:rPr>
              <w:t>data</w:t>
            </w:r>
            <w:r w:rsidRPr="00FF2BF4" w:rsidDel="002E6CD8">
              <w:rPr>
                <w:sz w:val="20"/>
                <w:szCs w:val="20"/>
              </w:rPr>
              <w:t xml:space="preserve"> </w:t>
            </w:r>
            <w:r w:rsidRPr="00FF2BF4">
              <w:rPr>
                <w:sz w:val="20"/>
                <w:szCs w:val="20"/>
              </w:rPr>
              <w:t>clearly and consistently demonstrate candidate</w:t>
            </w:r>
            <w:r w:rsidR="00283C49">
              <w:rPr>
                <w:sz w:val="20"/>
                <w:szCs w:val="20"/>
              </w:rPr>
              <w:t>s master a preponderance of the</w:t>
            </w:r>
            <w:r w:rsidRPr="00FF2BF4">
              <w:rPr>
                <w:sz w:val="20"/>
                <w:szCs w:val="20"/>
              </w:rPr>
              <w:t xml:space="preserve"> elements for the cited CEC Preparation Standard as informed by the specialty set</w:t>
            </w:r>
            <w:r w:rsidR="004B343A">
              <w:rPr>
                <w:sz w:val="20"/>
                <w:szCs w:val="20"/>
              </w:rPr>
              <w:t>.</w:t>
            </w:r>
          </w:p>
        </w:tc>
      </w:tr>
    </w:tbl>
    <w:p w:rsidR="0001317F" w:rsidRDefault="0001317F" w:rsidP="00FF2BF4">
      <w:pPr>
        <w:spacing w:after="0"/>
      </w:pPr>
    </w:p>
    <w:p w:rsidR="00A03913" w:rsidRPr="00E335FF" w:rsidRDefault="00E335FF" w:rsidP="00017647">
      <w:pPr>
        <w:pStyle w:val="RWMtitle"/>
      </w:pPr>
      <w:r w:rsidRPr="00E335FF">
        <w:t xml:space="preserve">Program Report </w:t>
      </w:r>
      <w:r w:rsidR="00A03913" w:rsidRPr="00E335FF">
        <w:t xml:space="preserve">Decision </w:t>
      </w:r>
      <w:r w:rsidR="00285CF9">
        <w:t>Guide</w:t>
      </w:r>
      <w:r w:rsidR="0094317C">
        <w:t xml:space="preserve"> for Revised CEC Preparation Standards</w:t>
      </w:r>
    </w:p>
    <w:tbl>
      <w:tblPr>
        <w:tblStyle w:val="TableGrid"/>
        <w:tblW w:w="9360" w:type="dxa"/>
        <w:jc w:val="center"/>
        <w:tblCellSpacing w:w="21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725"/>
        <w:gridCol w:w="7635"/>
      </w:tblGrid>
      <w:tr w:rsidR="00E335FF" w:rsidRPr="00E335FF" w:rsidTr="00E95C90">
        <w:trPr>
          <w:tblCellSpacing w:w="21" w:type="dxa"/>
          <w:jc w:val="center"/>
        </w:trPr>
        <w:tc>
          <w:tcPr>
            <w:tcW w:w="2277" w:type="dxa"/>
            <w:shd w:val="clear" w:color="auto" w:fill="BFBFBF" w:themeFill="background1" w:themeFillShade="BF"/>
            <w:vAlign w:val="center"/>
          </w:tcPr>
          <w:p w:rsidR="00E335FF" w:rsidRPr="00E335FF" w:rsidRDefault="00E335FF" w:rsidP="0024123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Program Report Decision</w:t>
            </w:r>
          </w:p>
        </w:tc>
        <w:tc>
          <w:tcPr>
            <w:tcW w:w="10557" w:type="dxa"/>
            <w:shd w:val="clear" w:color="auto" w:fill="BFBFBF" w:themeFill="background1" w:themeFillShade="BF"/>
            <w:vAlign w:val="center"/>
          </w:tcPr>
          <w:p w:rsidR="00E335FF" w:rsidRPr="00E335FF" w:rsidRDefault="00E335FF" w:rsidP="00DC5C7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Criteria</w:t>
            </w:r>
          </w:p>
        </w:tc>
      </w:tr>
      <w:tr w:rsidR="00A03913" w:rsidRPr="00E335FF" w:rsidTr="00E95C90">
        <w:trPr>
          <w:tblCellSpacing w:w="21" w:type="dxa"/>
          <w:jc w:val="center"/>
        </w:trPr>
        <w:tc>
          <w:tcPr>
            <w:tcW w:w="2277" w:type="dxa"/>
            <w:vAlign w:val="center"/>
          </w:tcPr>
          <w:p w:rsidR="00A03913" w:rsidRPr="00E335FF" w:rsidRDefault="00A03913" w:rsidP="0024123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E335FF">
              <w:rPr>
                <w:rFonts w:eastAsia="Times New Roman" w:cs="Arial"/>
                <w:b/>
                <w:bCs/>
                <w:color w:val="000000"/>
              </w:rPr>
              <w:t>Recognized</w:t>
            </w:r>
          </w:p>
        </w:tc>
        <w:tc>
          <w:tcPr>
            <w:tcW w:w="10557" w:type="dxa"/>
          </w:tcPr>
          <w:p w:rsidR="00C07F92" w:rsidRPr="00C825EE" w:rsidRDefault="000E7C9E" w:rsidP="00241237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All CEC Preparation Standard</w:t>
            </w:r>
            <w:r w:rsidR="00285CF9">
              <w:rPr>
                <w:rFonts w:eastAsia="Times New Roman" w:cs="Arial"/>
                <w:color w:val="000000"/>
              </w:rPr>
              <w:t>s</w:t>
            </w:r>
            <w:r w:rsidRPr="00C825EE">
              <w:rPr>
                <w:rFonts w:eastAsia="Times New Roman" w:cs="Arial"/>
                <w:color w:val="000000"/>
              </w:rPr>
              <w:t xml:space="preserve"> </w:t>
            </w:r>
            <w:r w:rsidR="00285CF9">
              <w:rPr>
                <w:rFonts w:eastAsia="Times New Roman" w:cs="Arial"/>
                <w:color w:val="000000"/>
              </w:rPr>
              <w:t xml:space="preserve">and the CEC Clinical Experience Standard </w:t>
            </w:r>
            <w:r w:rsidRPr="00C825EE">
              <w:rPr>
                <w:rFonts w:eastAsia="Times New Roman" w:cs="Arial"/>
                <w:color w:val="000000"/>
              </w:rPr>
              <w:t xml:space="preserve">are “met” </w:t>
            </w:r>
          </w:p>
          <w:p w:rsidR="00781DCE" w:rsidRPr="00C825EE" w:rsidRDefault="00781DCE" w:rsidP="00241237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AND</w:t>
            </w:r>
          </w:p>
          <w:p w:rsidR="000E7C9E" w:rsidRPr="00E335FF" w:rsidRDefault="00781DCE" w:rsidP="00241237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T</w:t>
            </w:r>
            <w:r w:rsidR="000E7C9E" w:rsidRPr="00C825EE">
              <w:rPr>
                <w:rFonts w:eastAsia="Times New Roman" w:cs="Arial"/>
                <w:color w:val="000000"/>
              </w:rPr>
              <w:t>he program report clearly and conv</w:t>
            </w:r>
            <w:r w:rsidRPr="00C825EE">
              <w:rPr>
                <w:rFonts w:eastAsia="Times New Roman" w:cs="Arial"/>
                <w:color w:val="000000"/>
              </w:rPr>
              <w:t>incingly supports a finding tha</w:t>
            </w:r>
            <w:r w:rsidR="000E7C9E" w:rsidRPr="00C825EE">
              <w:rPr>
                <w:rFonts w:eastAsia="Times New Roman" w:cs="Arial"/>
                <w:color w:val="000000"/>
              </w:rPr>
              <w:t xml:space="preserve">t the program </w:t>
            </w:r>
            <w:r w:rsidRPr="00C825EE">
              <w:rPr>
                <w:rFonts w:eastAsia="Times New Roman" w:cs="Arial"/>
                <w:color w:val="000000"/>
              </w:rPr>
              <w:t>m</w:t>
            </w:r>
            <w:r w:rsidR="00D61A41" w:rsidRPr="00C825EE">
              <w:rPr>
                <w:rFonts w:eastAsia="Times New Roman" w:cs="Arial"/>
                <w:color w:val="000000"/>
              </w:rPr>
              <w:t>e</w:t>
            </w:r>
            <w:r w:rsidRPr="00C825EE">
              <w:rPr>
                <w:rFonts w:eastAsia="Times New Roman" w:cs="Arial"/>
                <w:color w:val="000000"/>
              </w:rPr>
              <w:t>et</w:t>
            </w:r>
            <w:r w:rsidR="00D61A41" w:rsidRPr="00C825EE">
              <w:rPr>
                <w:rFonts w:eastAsia="Times New Roman" w:cs="Arial"/>
                <w:color w:val="000000"/>
              </w:rPr>
              <w:t>s</w:t>
            </w:r>
            <w:r w:rsidRPr="00C825EE">
              <w:rPr>
                <w:rFonts w:eastAsia="Times New Roman" w:cs="Arial"/>
                <w:color w:val="000000"/>
              </w:rPr>
              <w:t xml:space="preserve"> the elements of the</w:t>
            </w:r>
            <w:r w:rsidR="000E7C9E" w:rsidRPr="00C825EE">
              <w:rPr>
                <w:rFonts w:eastAsia="Times New Roman" w:cs="Arial"/>
                <w:color w:val="000000"/>
              </w:rPr>
              <w:t xml:space="preserve"> CEC </w:t>
            </w:r>
            <w:r w:rsidR="00503FF3">
              <w:rPr>
                <w:rFonts w:eastAsia="Times New Roman" w:cs="Arial"/>
                <w:color w:val="000000"/>
              </w:rPr>
              <w:t>Clinical</w:t>
            </w:r>
            <w:r w:rsidR="000E7C9E" w:rsidRPr="00C825EE">
              <w:rPr>
                <w:rFonts w:eastAsia="Times New Roman" w:cs="Arial"/>
                <w:color w:val="000000"/>
              </w:rPr>
              <w:t xml:space="preserve"> Experience Standard</w:t>
            </w:r>
            <w:r w:rsidR="00D06971" w:rsidRPr="00C825EE">
              <w:rPr>
                <w:rFonts w:eastAsia="Times New Roman" w:cs="Arial"/>
                <w:color w:val="000000"/>
              </w:rPr>
              <w:t>.</w:t>
            </w:r>
          </w:p>
        </w:tc>
      </w:tr>
      <w:tr w:rsidR="00A03913" w:rsidRPr="00E335FF" w:rsidTr="00E95C90">
        <w:trPr>
          <w:tblCellSpacing w:w="21" w:type="dxa"/>
          <w:jc w:val="center"/>
        </w:trPr>
        <w:tc>
          <w:tcPr>
            <w:tcW w:w="2277" w:type="dxa"/>
            <w:vAlign w:val="center"/>
          </w:tcPr>
          <w:p w:rsidR="00A03913" w:rsidRPr="00E335FF" w:rsidRDefault="00A03913" w:rsidP="0024123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E335FF">
              <w:rPr>
                <w:rFonts w:eastAsia="Times New Roman" w:cs="Arial"/>
                <w:b/>
                <w:bCs/>
                <w:color w:val="000000"/>
              </w:rPr>
              <w:t>Recognized with Conditions</w:t>
            </w:r>
          </w:p>
        </w:tc>
        <w:tc>
          <w:tcPr>
            <w:tcW w:w="10557" w:type="dxa"/>
          </w:tcPr>
          <w:p w:rsidR="0054160B" w:rsidRPr="00C825EE" w:rsidRDefault="0054160B" w:rsidP="00241237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Up to eight CEC Preparation Standards including </w:t>
            </w:r>
            <w:r w:rsidR="00503FF3">
              <w:rPr>
                <w:rFonts w:eastAsia="Times New Roman" w:cs="Arial"/>
                <w:color w:val="000000"/>
              </w:rPr>
              <w:t>Clinical</w:t>
            </w:r>
            <w:r w:rsidRPr="00C825EE">
              <w:rPr>
                <w:rFonts w:eastAsia="Times New Roman" w:cs="Arial"/>
                <w:color w:val="000000"/>
              </w:rPr>
              <w:t xml:space="preserve"> Experience Standard are “met with conditions.”</w:t>
            </w:r>
          </w:p>
          <w:p w:rsidR="0054160B" w:rsidRPr="00C825EE" w:rsidRDefault="0054160B" w:rsidP="00241237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AND</w:t>
            </w:r>
          </w:p>
          <w:p w:rsidR="00A03913" w:rsidRPr="00E335FF" w:rsidRDefault="0054160B" w:rsidP="00241237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Fewer </w:t>
            </w:r>
            <w:r w:rsidR="00C4657D" w:rsidRPr="00C825EE">
              <w:rPr>
                <w:rFonts w:eastAsia="Times New Roman" w:cs="Arial"/>
                <w:color w:val="000000"/>
              </w:rPr>
              <w:t xml:space="preserve">than </w:t>
            </w:r>
            <w:r w:rsidR="00037DE9" w:rsidRPr="00C825EE">
              <w:rPr>
                <w:rFonts w:eastAsia="Times New Roman" w:cs="Arial"/>
                <w:color w:val="000000"/>
              </w:rPr>
              <w:t>four CEC</w:t>
            </w:r>
            <w:r w:rsidR="00A03913" w:rsidRPr="00C825EE">
              <w:rPr>
                <w:rFonts w:eastAsia="Times New Roman" w:cs="Arial"/>
                <w:color w:val="000000"/>
              </w:rPr>
              <w:t xml:space="preserve"> Preparation Standards and the </w:t>
            </w:r>
            <w:r w:rsidR="00503FF3">
              <w:rPr>
                <w:rFonts w:eastAsia="Times New Roman" w:cs="Arial"/>
                <w:color w:val="000000"/>
              </w:rPr>
              <w:t>Clinical</w:t>
            </w:r>
            <w:r w:rsidR="00A03913" w:rsidRPr="00C825EE">
              <w:rPr>
                <w:rFonts w:eastAsia="Times New Roman" w:cs="Arial"/>
                <w:color w:val="000000"/>
              </w:rPr>
              <w:t xml:space="preserve"> Experience Standard </w:t>
            </w:r>
            <w:r w:rsidR="00E335FF" w:rsidRPr="00C825EE">
              <w:rPr>
                <w:rFonts w:eastAsia="Times New Roman" w:cs="Arial"/>
                <w:color w:val="000000"/>
              </w:rPr>
              <w:t xml:space="preserve">are </w:t>
            </w:r>
            <w:r w:rsidR="00C4657D" w:rsidRPr="00C825EE">
              <w:rPr>
                <w:rFonts w:eastAsia="Times New Roman" w:cs="Arial"/>
                <w:color w:val="000000"/>
              </w:rPr>
              <w:t>“</w:t>
            </w:r>
            <w:r w:rsidR="00E335FF" w:rsidRPr="00C825EE">
              <w:rPr>
                <w:rFonts w:eastAsia="Times New Roman" w:cs="Arial"/>
                <w:color w:val="000000"/>
              </w:rPr>
              <w:t>not met</w:t>
            </w:r>
            <w:r w:rsidR="00C4657D" w:rsidRPr="00C825EE">
              <w:rPr>
                <w:rFonts w:eastAsia="Times New Roman" w:cs="Arial"/>
                <w:color w:val="000000"/>
              </w:rPr>
              <w:t>.</w:t>
            </w:r>
            <w:r w:rsidR="00C4657D">
              <w:rPr>
                <w:rFonts w:eastAsia="Times New Roman" w:cs="Arial"/>
                <w:b/>
                <w:bCs/>
                <w:color w:val="000000"/>
              </w:rPr>
              <w:t>”</w:t>
            </w:r>
            <w:r w:rsidR="00E335FF" w:rsidRPr="00E335FF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</w:p>
        </w:tc>
      </w:tr>
      <w:tr w:rsidR="00A03913" w:rsidRPr="00E335FF" w:rsidTr="00E95C90">
        <w:trPr>
          <w:tblCellSpacing w:w="21" w:type="dxa"/>
          <w:jc w:val="center"/>
        </w:trPr>
        <w:tc>
          <w:tcPr>
            <w:tcW w:w="2277" w:type="dxa"/>
            <w:vAlign w:val="center"/>
          </w:tcPr>
          <w:p w:rsidR="00A03913" w:rsidRPr="00E335FF" w:rsidRDefault="00A03913" w:rsidP="0024123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E335FF">
              <w:rPr>
                <w:rFonts w:eastAsia="Times New Roman" w:cs="Arial"/>
                <w:b/>
                <w:bCs/>
                <w:color w:val="000000"/>
              </w:rPr>
              <w:t>Not Recognized</w:t>
            </w:r>
          </w:p>
        </w:tc>
        <w:tc>
          <w:tcPr>
            <w:tcW w:w="10557" w:type="dxa"/>
          </w:tcPr>
          <w:p w:rsidR="00A03913" w:rsidRPr="00C825EE" w:rsidRDefault="0054160B" w:rsidP="00241237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Four </w:t>
            </w:r>
            <w:r w:rsidR="00A03913" w:rsidRPr="00C825EE">
              <w:rPr>
                <w:rFonts w:eastAsia="Times New Roman" w:cs="Arial"/>
                <w:color w:val="000000"/>
              </w:rPr>
              <w:t xml:space="preserve">or more CEC Preparation Standards </w:t>
            </w:r>
            <w:r w:rsidRPr="00C825EE">
              <w:rPr>
                <w:rFonts w:eastAsia="Times New Roman" w:cs="Arial"/>
                <w:color w:val="000000"/>
              </w:rPr>
              <w:t xml:space="preserve">including </w:t>
            </w:r>
            <w:r w:rsidR="00A03913" w:rsidRPr="00C825EE">
              <w:rPr>
                <w:rFonts w:eastAsia="Times New Roman" w:cs="Arial"/>
                <w:color w:val="000000"/>
              </w:rPr>
              <w:t xml:space="preserve">the </w:t>
            </w:r>
            <w:r w:rsidR="00503FF3">
              <w:rPr>
                <w:rFonts w:eastAsia="Times New Roman" w:cs="Arial"/>
                <w:color w:val="000000"/>
              </w:rPr>
              <w:t>Clinical</w:t>
            </w:r>
            <w:r w:rsidR="00A03913" w:rsidRPr="00C825EE">
              <w:rPr>
                <w:rFonts w:eastAsia="Times New Roman" w:cs="Arial"/>
                <w:color w:val="000000"/>
              </w:rPr>
              <w:t xml:space="preserve"> Experience Standard </w:t>
            </w:r>
            <w:r w:rsidR="00E335FF" w:rsidRPr="00C825EE">
              <w:rPr>
                <w:rFonts w:eastAsia="Times New Roman" w:cs="Arial"/>
                <w:color w:val="000000"/>
              </w:rPr>
              <w:t xml:space="preserve">are </w:t>
            </w:r>
            <w:r w:rsidR="00C4657D" w:rsidRPr="00C825EE">
              <w:rPr>
                <w:rFonts w:eastAsia="Times New Roman" w:cs="Arial"/>
                <w:color w:val="000000"/>
              </w:rPr>
              <w:t>“</w:t>
            </w:r>
            <w:r w:rsidR="00A03913" w:rsidRPr="00C825EE">
              <w:rPr>
                <w:rFonts w:eastAsia="Times New Roman" w:cs="Arial"/>
                <w:color w:val="000000"/>
              </w:rPr>
              <w:t>not met.</w:t>
            </w:r>
            <w:r w:rsidR="00C4657D" w:rsidRPr="00C825EE">
              <w:rPr>
                <w:rFonts w:eastAsia="Times New Roman" w:cs="Arial"/>
                <w:color w:val="000000"/>
              </w:rPr>
              <w:t>”</w:t>
            </w:r>
          </w:p>
        </w:tc>
      </w:tr>
    </w:tbl>
    <w:p w:rsidR="00F0437E" w:rsidRDefault="00F0437E" w:rsidP="00241237">
      <w:pPr>
        <w:spacing w:after="0"/>
        <w:rPr>
          <w:rFonts w:eastAsia="Malgun Gothic" w:cs="Arial"/>
          <w:b/>
          <w:bCs/>
        </w:rPr>
      </w:pPr>
    </w:p>
    <w:p w:rsidR="00F0437E" w:rsidRPr="00333AEC" w:rsidRDefault="00F0437E" w:rsidP="00017647">
      <w:pPr>
        <w:pStyle w:val="Title"/>
      </w:pPr>
      <w:r>
        <w:t>CEC Preparation Standard Rubric</w:t>
      </w:r>
      <w:r w:rsidRPr="00653461">
        <w:t xml:space="preserve"> </w:t>
      </w:r>
      <w:r>
        <w:t xml:space="preserve">Reviewer </w:t>
      </w:r>
      <w:r w:rsidRPr="00653461">
        <w:t>Worksheet</w:t>
      </w:r>
    </w:p>
    <w:tbl>
      <w:tblPr>
        <w:tblW w:w="936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/>
      </w:tblPr>
      <w:tblGrid>
        <w:gridCol w:w="3172"/>
        <w:gridCol w:w="882"/>
        <w:gridCol w:w="883"/>
        <w:gridCol w:w="883"/>
        <w:gridCol w:w="883"/>
        <w:gridCol w:w="883"/>
        <w:gridCol w:w="883"/>
        <w:gridCol w:w="891"/>
      </w:tblGrid>
      <w:tr w:rsidR="00F0437E" w:rsidRPr="00653461" w:rsidTr="00E95C90">
        <w:trPr>
          <w:trHeight w:val="20"/>
          <w:tblCellSpacing w:w="21" w:type="dxa"/>
          <w:jc w:val="center"/>
        </w:trPr>
        <w:tc>
          <w:tcPr>
            <w:tcW w:w="3987" w:type="dxa"/>
            <w:vMerge w:val="restart"/>
            <w:shd w:val="clear" w:color="auto" w:fill="C0C0C0"/>
            <w:vAlign w:val="center"/>
          </w:tcPr>
          <w:p w:rsidR="004B343A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 xml:space="preserve">Cited </w:t>
            </w:r>
          </w:p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Program Assessment(S)</w:t>
            </w:r>
          </w:p>
        </w:tc>
        <w:tc>
          <w:tcPr>
            <w:tcW w:w="8847" w:type="dxa"/>
            <w:gridSpan w:val="7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CEC Preparation Standard</w:t>
            </w:r>
            <w:r w:rsidR="00017647">
              <w:rPr>
                <w:b/>
                <w:bCs/>
              </w:rPr>
              <w:t>s</w:t>
            </w:r>
          </w:p>
        </w:tc>
      </w:tr>
      <w:tr w:rsidR="00F0437E" w:rsidRPr="00653461" w:rsidTr="00E95C90">
        <w:trPr>
          <w:trHeight w:val="214"/>
          <w:tblCellSpacing w:w="21" w:type="dxa"/>
          <w:jc w:val="center"/>
        </w:trPr>
        <w:tc>
          <w:tcPr>
            <w:tcW w:w="3987" w:type="dxa"/>
            <w:vMerge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1</w:t>
            </w:r>
          </w:p>
        </w:tc>
        <w:tc>
          <w:tcPr>
            <w:tcW w:w="1231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2</w:t>
            </w:r>
          </w:p>
        </w:tc>
        <w:tc>
          <w:tcPr>
            <w:tcW w:w="1231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3</w:t>
            </w:r>
          </w:p>
        </w:tc>
        <w:tc>
          <w:tcPr>
            <w:tcW w:w="1231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4</w:t>
            </w:r>
          </w:p>
        </w:tc>
        <w:tc>
          <w:tcPr>
            <w:tcW w:w="1231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5</w:t>
            </w:r>
          </w:p>
        </w:tc>
        <w:tc>
          <w:tcPr>
            <w:tcW w:w="1231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6</w:t>
            </w:r>
          </w:p>
        </w:tc>
        <w:tc>
          <w:tcPr>
            <w:tcW w:w="1210" w:type="dxa"/>
            <w:shd w:val="clear" w:color="auto" w:fill="C0C0C0"/>
            <w:vAlign w:val="center"/>
          </w:tcPr>
          <w:p w:rsidR="00F0437E" w:rsidRPr="00C825EE" w:rsidRDefault="00F0437E" w:rsidP="00F0437E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7</w:t>
            </w:r>
          </w:p>
        </w:tc>
      </w:tr>
      <w:tr w:rsidR="00F0437E" w:rsidRPr="00653461" w:rsidTr="00E95C90">
        <w:trPr>
          <w:trHeight w:val="151"/>
          <w:tblCellSpacing w:w="21" w:type="dxa"/>
          <w:jc w:val="center"/>
        </w:trPr>
        <w:tc>
          <w:tcPr>
            <w:tcW w:w="3987" w:type="dxa"/>
            <w:vAlign w:val="center"/>
          </w:tcPr>
          <w:p w:rsidR="00F0437E" w:rsidRPr="00DE22D6" w:rsidRDefault="00F0437E" w:rsidP="004B343A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Section 4 Assessment Components</w:t>
            </w:r>
          </w:p>
        </w:tc>
        <w:tc>
          <w:tcPr>
            <w:tcW w:w="123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1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</w:tr>
      <w:tr w:rsidR="00F0437E" w:rsidRPr="00653461" w:rsidTr="00E95C90">
        <w:trPr>
          <w:trHeight w:val="79"/>
          <w:tblCellSpacing w:w="21" w:type="dxa"/>
          <w:jc w:val="center"/>
        </w:trPr>
        <w:tc>
          <w:tcPr>
            <w:tcW w:w="3987" w:type="dxa"/>
            <w:vAlign w:val="center"/>
          </w:tcPr>
          <w:p w:rsidR="00F0437E" w:rsidRPr="00DE22D6" w:rsidRDefault="00F0437E" w:rsidP="004B343A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Assessment Content</w:t>
            </w:r>
          </w:p>
        </w:tc>
        <w:tc>
          <w:tcPr>
            <w:tcW w:w="123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1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</w:tr>
      <w:tr w:rsidR="00F0437E" w:rsidRPr="00653461" w:rsidTr="00E95C90">
        <w:trPr>
          <w:trHeight w:val="214"/>
          <w:tblCellSpacing w:w="21" w:type="dxa"/>
          <w:jc w:val="center"/>
        </w:trPr>
        <w:tc>
          <w:tcPr>
            <w:tcW w:w="3987" w:type="dxa"/>
            <w:vAlign w:val="center"/>
          </w:tcPr>
          <w:p w:rsidR="00F0437E" w:rsidRPr="00DE22D6" w:rsidRDefault="00F0437E" w:rsidP="004B343A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Scoring Guides/Rubrics</w:t>
            </w:r>
          </w:p>
        </w:tc>
        <w:tc>
          <w:tcPr>
            <w:tcW w:w="123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1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</w:tr>
      <w:tr w:rsidR="00F0437E" w:rsidRPr="00653461" w:rsidTr="00E95C90">
        <w:trPr>
          <w:trHeight w:val="34"/>
          <w:tblCellSpacing w:w="21" w:type="dxa"/>
          <w:jc w:val="center"/>
        </w:trPr>
        <w:tc>
          <w:tcPr>
            <w:tcW w:w="3987" w:type="dxa"/>
            <w:vAlign w:val="center"/>
          </w:tcPr>
          <w:p w:rsidR="00F0437E" w:rsidRPr="00DE22D6" w:rsidRDefault="00F0437E" w:rsidP="004B343A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Candidate Performance Data</w:t>
            </w:r>
          </w:p>
        </w:tc>
        <w:tc>
          <w:tcPr>
            <w:tcW w:w="123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  <w:tc>
          <w:tcPr>
            <w:tcW w:w="1210" w:type="dxa"/>
            <w:vAlign w:val="center"/>
          </w:tcPr>
          <w:p w:rsidR="00F0437E" w:rsidRPr="0001317F" w:rsidRDefault="00F0437E" w:rsidP="004B343A">
            <w:pPr>
              <w:spacing w:after="0"/>
              <w:jc w:val="center"/>
            </w:pPr>
          </w:p>
        </w:tc>
      </w:tr>
      <w:tr w:rsidR="004B343A" w:rsidRPr="00653461" w:rsidTr="00E95C90">
        <w:trPr>
          <w:trHeight w:val="34"/>
          <w:tblCellSpacing w:w="21" w:type="dxa"/>
          <w:jc w:val="center"/>
        </w:trPr>
        <w:tc>
          <w:tcPr>
            <w:tcW w:w="3987" w:type="dxa"/>
            <w:vAlign w:val="center"/>
          </w:tcPr>
          <w:p w:rsidR="004B343A" w:rsidRPr="00DE22D6" w:rsidRDefault="004B343A" w:rsidP="004B343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Overall Standard Rating</w:t>
            </w:r>
          </w:p>
        </w:tc>
        <w:tc>
          <w:tcPr>
            <w:tcW w:w="1230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  <w:tc>
          <w:tcPr>
            <w:tcW w:w="1231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  <w:tc>
          <w:tcPr>
            <w:tcW w:w="1210" w:type="dxa"/>
            <w:vAlign w:val="center"/>
          </w:tcPr>
          <w:p w:rsidR="004B343A" w:rsidRPr="0001317F" w:rsidRDefault="004B343A" w:rsidP="004B343A">
            <w:pPr>
              <w:spacing w:after="0"/>
              <w:jc w:val="center"/>
            </w:pPr>
          </w:p>
        </w:tc>
      </w:tr>
    </w:tbl>
    <w:p w:rsidR="000B71F3" w:rsidRDefault="000B71F3" w:rsidP="004B343A">
      <w:pPr>
        <w:spacing w:after="0"/>
        <w:rPr>
          <w:rFonts w:eastAsia="Malgun Gothic" w:cs="Arial"/>
          <w:b/>
          <w:bCs/>
        </w:rPr>
      </w:pPr>
    </w:p>
    <w:p w:rsidR="0094317C" w:rsidRPr="00E335FF" w:rsidRDefault="0094317C" w:rsidP="0094317C">
      <w:pPr>
        <w:pStyle w:val="RWMtitle"/>
      </w:pPr>
      <w:r w:rsidRPr="00E335FF">
        <w:t xml:space="preserve">Program Report Decision </w:t>
      </w:r>
      <w:r>
        <w:t>Guide for Existing CEC Preparation Standards</w:t>
      </w:r>
    </w:p>
    <w:tbl>
      <w:tblPr>
        <w:tblStyle w:val="TableGrid"/>
        <w:tblW w:w="9360" w:type="dxa"/>
        <w:jc w:val="center"/>
        <w:tblCellSpacing w:w="21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725"/>
        <w:gridCol w:w="7635"/>
      </w:tblGrid>
      <w:tr w:rsidR="0094317C" w:rsidRPr="00E335FF" w:rsidTr="0094317C">
        <w:trPr>
          <w:tblCellSpacing w:w="21" w:type="dxa"/>
          <w:jc w:val="center"/>
        </w:trPr>
        <w:tc>
          <w:tcPr>
            <w:tcW w:w="2277" w:type="dxa"/>
            <w:shd w:val="clear" w:color="auto" w:fill="BFBFBF" w:themeFill="background1" w:themeFillShade="BF"/>
            <w:vAlign w:val="center"/>
          </w:tcPr>
          <w:p w:rsidR="0094317C" w:rsidRPr="00E335FF" w:rsidRDefault="0094317C" w:rsidP="0094317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Program Report Decision</w:t>
            </w:r>
          </w:p>
        </w:tc>
        <w:tc>
          <w:tcPr>
            <w:tcW w:w="10557" w:type="dxa"/>
            <w:shd w:val="clear" w:color="auto" w:fill="BFBFBF" w:themeFill="background1" w:themeFillShade="BF"/>
            <w:vAlign w:val="center"/>
          </w:tcPr>
          <w:p w:rsidR="0094317C" w:rsidRPr="00E335FF" w:rsidRDefault="0094317C" w:rsidP="0094317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Criteria</w:t>
            </w:r>
          </w:p>
        </w:tc>
      </w:tr>
      <w:tr w:rsidR="0094317C" w:rsidRPr="00E335FF" w:rsidTr="0094317C">
        <w:trPr>
          <w:tblCellSpacing w:w="21" w:type="dxa"/>
          <w:jc w:val="center"/>
        </w:trPr>
        <w:tc>
          <w:tcPr>
            <w:tcW w:w="2277" w:type="dxa"/>
            <w:vAlign w:val="center"/>
          </w:tcPr>
          <w:p w:rsidR="0094317C" w:rsidRPr="00E335FF" w:rsidRDefault="0094317C" w:rsidP="0094317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E335FF">
              <w:rPr>
                <w:rFonts w:eastAsia="Times New Roman" w:cs="Arial"/>
                <w:b/>
                <w:bCs/>
                <w:color w:val="000000"/>
              </w:rPr>
              <w:t>Recognized</w:t>
            </w:r>
          </w:p>
        </w:tc>
        <w:tc>
          <w:tcPr>
            <w:tcW w:w="10557" w:type="dxa"/>
          </w:tcPr>
          <w:p w:rsidR="0094317C" w:rsidRPr="00C825EE" w:rsidRDefault="0094317C" w:rsidP="0094317C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All CEC Preparation Standard</w:t>
            </w:r>
            <w:r>
              <w:rPr>
                <w:rFonts w:eastAsia="Times New Roman" w:cs="Arial"/>
                <w:color w:val="000000"/>
              </w:rPr>
              <w:t>s</w:t>
            </w:r>
            <w:r w:rsidRPr="00C825EE"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 xml:space="preserve">and the CEC Clinical Experience Standard </w:t>
            </w:r>
            <w:r w:rsidRPr="00C825EE">
              <w:rPr>
                <w:rFonts w:eastAsia="Times New Roman" w:cs="Arial"/>
                <w:color w:val="000000"/>
              </w:rPr>
              <w:t xml:space="preserve">are “met” </w:t>
            </w:r>
          </w:p>
          <w:p w:rsidR="0094317C" w:rsidRPr="00C825EE" w:rsidRDefault="0094317C" w:rsidP="0094317C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AND</w:t>
            </w:r>
          </w:p>
          <w:p w:rsidR="0094317C" w:rsidRPr="00E335FF" w:rsidRDefault="0094317C" w:rsidP="0094317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The program report clearly and convincingly supports a finding that the program meets the elements of the CEC </w:t>
            </w:r>
            <w:r>
              <w:rPr>
                <w:rFonts w:eastAsia="Times New Roman" w:cs="Arial"/>
                <w:color w:val="000000"/>
              </w:rPr>
              <w:t>Clinical</w:t>
            </w:r>
            <w:r w:rsidRPr="00C825EE">
              <w:rPr>
                <w:rFonts w:eastAsia="Times New Roman" w:cs="Arial"/>
                <w:color w:val="000000"/>
              </w:rPr>
              <w:t xml:space="preserve"> Experience Standard.</w:t>
            </w:r>
          </w:p>
        </w:tc>
      </w:tr>
      <w:tr w:rsidR="0094317C" w:rsidRPr="00E335FF" w:rsidTr="0094317C">
        <w:trPr>
          <w:tblCellSpacing w:w="21" w:type="dxa"/>
          <w:jc w:val="center"/>
        </w:trPr>
        <w:tc>
          <w:tcPr>
            <w:tcW w:w="2277" w:type="dxa"/>
            <w:vAlign w:val="center"/>
          </w:tcPr>
          <w:p w:rsidR="0094317C" w:rsidRPr="00E335FF" w:rsidRDefault="0094317C" w:rsidP="0094317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E335FF">
              <w:rPr>
                <w:rFonts w:eastAsia="Times New Roman" w:cs="Arial"/>
                <w:b/>
                <w:bCs/>
                <w:color w:val="000000"/>
              </w:rPr>
              <w:t>Recognized with Conditions</w:t>
            </w:r>
          </w:p>
        </w:tc>
        <w:tc>
          <w:tcPr>
            <w:tcW w:w="10557" w:type="dxa"/>
          </w:tcPr>
          <w:p w:rsidR="0094317C" w:rsidRPr="00C825EE" w:rsidRDefault="0094317C" w:rsidP="0094317C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Up to </w:t>
            </w:r>
            <w:r>
              <w:rPr>
                <w:rFonts w:eastAsia="Times New Roman" w:cs="Arial"/>
                <w:color w:val="000000"/>
              </w:rPr>
              <w:t>eleven</w:t>
            </w:r>
            <w:r w:rsidRPr="00C825EE">
              <w:rPr>
                <w:rFonts w:eastAsia="Times New Roman" w:cs="Arial"/>
                <w:color w:val="000000"/>
              </w:rPr>
              <w:t xml:space="preserve"> </w:t>
            </w:r>
            <w:r w:rsidR="00266C07">
              <w:rPr>
                <w:rFonts w:eastAsia="Times New Roman" w:cs="Arial"/>
                <w:color w:val="000000"/>
              </w:rPr>
              <w:t xml:space="preserve">(Seven for advanced level) </w:t>
            </w:r>
            <w:r w:rsidRPr="00C825EE">
              <w:rPr>
                <w:rFonts w:eastAsia="Times New Roman" w:cs="Arial"/>
                <w:color w:val="000000"/>
              </w:rPr>
              <w:t xml:space="preserve">CEC Preparation Standards including </w:t>
            </w:r>
            <w:r>
              <w:rPr>
                <w:rFonts w:eastAsia="Times New Roman" w:cs="Arial"/>
                <w:color w:val="000000"/>
              </w:rPr>
              <w:t>Clinical</w:t>
            </w:r>
            <w:r w:rsidRPr="00C825EE">
              <w:rPr>
                <w:rFonts w:eastAsia="Times New Roman" w:cs="Arial"/>
                <w:color w:val="000000"/>
              </w:rPr>
              <w:t xml:space="preserve"> Experience Standard are “met with conditions.”</w:t>
            </w:r>
          </w:p>
          <w:p w:rsidR="0094317C" w:rsidRPr="00C825EE" w:rsidRDefault="0094317C" w:rsidP="0094317C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>AND</w:t>
            </w:r>
          </w:p>
          <w:p w:rsidR="0094317C" w:rsidRPr="00E335FF" w:rsidRDefault="0094317C" w:rsidP="0094317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Fewer than four CEC Preparation Standards and the </w:t>
            </w:r>
            <w:r>
              <w:rPr>
                <w:rFonts w:eastAsia="Times New Roman" w:cs="Arial"/>
                <w:color w:val="000000"/>
              </w:rPr>
              <w:t>Clinical</w:t>
            </w:r>
            <w:r w:rsidRPr="00C825EE">
              <w:rPr>
                <w:rFonts w:eastAsia="Times New Roman" w:cs="Arial"/>
                <w:color w:val="000000"/>
              </w:rPr>
              <w:t xml:space="preserve"> Experience Standard are “not met.</w:t>
            </w:r>
            <w:r>
              <w:rPr>
                <w:rFonts w:eastAsia="Times New Roman" w:cs="Arial"/>
                <w:b/>
                <w:bCs/>
                <w:color w:val="000000"/>
              </w:rPr>
              <w:t>”</w:t>
            </w:r>
            <w:r w:rsidRPr="00E335FF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</w:p>
        </w:tc>
      </w:tr>
      <w:tr w:rsidR="0094317C" w:rsidRPr="00E335FF" w:rsidTr="0094317C">
        <w:trPr>
          <w:tblCellSpacing w:w="21" w:type="dxa"/>
          <w:jc w:val="center"/>
        </w:trPr>
        <w:tc>
          <w:tcPr>
            <w:tcW w:w="2277" w:type="dxa"/>
            <w:vAlign w:val="center"/>
          </w:tcPr>
          <w:p w:rsidR="0094317C" w:rsidRPr="00E335FF" w:rsidRDefault="0094317C" w:rsidP="0094317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E335FF">
              <w:rPr>
                <w:rFonts w:eastAsia="Times New Roman" w:cs="Arial"/>
                <w:b/>
                <w:bCs/>
                <w:color w:val="000000"/>
              </w:rPr>
              <w:t>Not Recognized</w:t>
            </w:r>
          </w:p>
        </w:tc>
        <w:tc>
          <w:tcPr>
            <w:tcW w:w="10557" w:type="dxa"/>
          </w:tcPr>
          <w:p w:rsidR="0094317C" w:rsidRPr="00C825EE" w:rsidRDefault="0094317C" w:rsidP="0094317C">
            <w:pPr>
              <w:spacing w:after="0"/>
              <w:jc w:val="left"/>
              <w:rPr>
                <w:rFonts w:eastAsia="Times New Roman" w:cs="Arial"/>
                <w:color w:val="000000"/>
              </w:rPr>
            </w:pPr>
            <w:r w:rsidRPr="00C825EE">
              <w:rPr>
                <w:rFonts w:eastAsia="Times New Roman" w:cs="Arial"/>
                <w:color w:val="000000"/>
              </w:rPr>
              <w:t xml:space="preserve">Four or more CEC Preparation Standards including the </w:t>
            </w:r>
            <w:r>
              <w:rPr>
                <w:rFonts w:eastAsia="Times New Roman" w:cs="Arial"/>
                <w:color w:val="000000"/>
              </w:rPr>
              <w:t>Clinical</w:t>
            </w:r>
            <w:r w:rsidRPr="00C825EE">
              <w:rPr>
                <w:rFonts w:eastAsia="Times New Roman" w:cs="Arial"/>
                <w:color w:val="000000"/>
              </w:rPr>
              <w:t xml:space="preserve"> Experience Standard are “not met.”</w:t>
            </w:r>
          </w:p>
        </w:tc>
      </w:tr>
    </w:tbl>
    <w:p w:rsidR="0094317C" w:rsidRDefault="0094317C" w:rsidP="004B343A">
      <w:pPr>
        <w:spacing w:after="0"/>
        <w:rPr>
          <w:rFonts w:eastAsia="Malgun Gothic" w:cs="Arial"/>
          <w:b/>
          <w:bCs/>
        </w:rPr>
      </w:pPr>
    </w:p>
    <w:p w:rsidR="00191099" w:rsidRDefault="00191099"/>
    <w:tbl>
      <w:tblPr>
        <w:tblW w:w="9550" w:type="dxa"/>
        <w:jc w:val="center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/>
      </w:tblPr>
      <w:tblGrid>
        <w:gridCol w:w="2106"/>
        <w:gridCol w:w="744"/>
        <w:gridCol w:w="744"/>
        <w:gridCol w:w="745"/>
        <w:gridCol w:w="744"/>
        <w:gridCol w:w="745"/>
        <w:gridCol w:w="744"/>
        <w:gridCol w:w="744"/>
        <w:gridCol w:w="745"/>
        <w:gridCol w:w="744"/>
        <w:gridCol w:w="745"/>
      </w:tblGrid>
      <w:tr w:rsidR="00191099" w:rsidRPr="00653461" w:rsidTr="00191099">
        <w:trPr>
          <w:trHeight w:val="20"/>
          <w:tblCellSpacing w:w="21" w:type="dxa"/>
          <w:jc w:val="center"/>
        </w:trPr>
        <w:tc>
          <w:tcPr>
            <w:tcW w:w="2043" w:type="dxa"/>
            <w:vMerge w:val="restart"/>
            <w:shd w:val="clear" w:color="auto" w:fill="C0C0C0"/>
            <w:vAlign w:val="center"/>
          </w:tcPr>
          <w:p w:rsidR="00191099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 xml:space="preserve">Cited </w:t>
            </w:r>
          </w:p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Program Assessment(S)</w:t>
            </w:r>
          </w:p>
        </w:tc>
        <w:tc>
          <w:tcPr>
            <w:tcW w:w="7381" w:type="dxa"/>
            <w:gridSpan w:val="10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CEC Preparation Standard</w:t>
            </w:r>
            <w:r>
              <w:rPr>
                <w:b/>
                <w:bCs/>
              </w:rPr>
              <w:t>s</w:t>
            </w:r>
          </w:p>
        </w:tc>
      </w:tr>
      <w:tr w:rsidR="00191099" w:rsidRPr="00653461" w:rsidTr="0094317C">
        <w:trPr>
          <w:trHeight w:val="214"/>
          <w:tblCellSpacing w:w="21" w:type="dxa"/>
          <w:jc w:val="center"/>
        </w:trPr>
        <w:tc>
          <w:tcPr>
            <w:tcW w:w="2043" w:type="dxa"/>
            <w:vMerge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1</w:t>
            </w:r>
          </w:p>
        </w:tc>
        <w:tc>
          <w:tcPr>
            <w:tcW w:w="70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2</w:t>
            </w:r>
          </w:p>
        </w:tc>
        <w:tc>
          <w:tcPr>
            <w:tcW w:w="703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3</w:t>
            </w:r>
          </w:p>
        </w:tc>
        <w:tc>
          <w:tcPr>
            <w:tcW w:w="70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4</w:t>
            </w:r>
          </w:p>
        </w:tc>
        <w:tc>
          <w:tcPr>
            <w:tcW w:w="703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5</w:t>
            </w:r>
          </w:p>
        </w:tc>
        <w:tc>
          <w:tcPr>
            <w:tcW w:w="70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6</w:t>
            </w:r>
          </w:p>
        </w:tc>
        <w:tc>
          <w:tcPr>
            <w:tcW w:w="70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 w:rsidRPr="00C825EE">
              <w:rPr>
                <w:b/>
                <w:bCs/>
              </w:rPr>
              <w:t>7</w:t>
            </w:r>
          </w:p>
        </w:tc>
        <w:tc>
          <w:tcPr>
            <w:tcW w:w="703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82" w:type="dxa"/>
            <w:shd w:val="clear" w:color="auto" w:fill="C0C0C0"/>
            <w:vAlign w:val="center"/>
          </w:tcPr>
          <w:p w:rsidR="00191099" w:rsidRPr="00C825EE" w:rsidRDefault="00191099" w:rsidP="0094317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91099" w:rsidRPr="00653461" w:rsidTr="00191099">
        <w:trPr>
          <w:trHeight w:val="151"/>
          <w:tblCellSpacing w:w="21" w:type="dxa"/>
          <w:jc w:val="center"/>
        </w:trPr>
        <w:tc>
          <w:tcPr>
            <w:tcW w:w="2043" w:type="dxa"/>
            <w:vAlign w:val="center"/>
          </w:tcPr>
          <w:p w:rsidR="00191099" w:rsidRPr="00DE22D6" w:rsidRDefault="00191099" w:rsidP="0094317C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Section 4 Assessment Components</w:t>
            </w: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68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</w:tr>
      <w:tr w:rsidR="00191099" w:rsidRPr="00653461" w:rsidTr="00191099">
        <w:trPr>
          <w:trHeight w:val="79"/>
          <w:tblCellSpacing w:w="21" w:type="dxa"/>
          <w:jc w:val="center"/>
        </w:trPr>
        <w:tc>
          <w:tcPr>
            <w:tcW w:w="2043" w:type="dxa"/>
            <w:vAlign w:val="center"/>
          </w:tcPr>
          <w:p w:rsidR="00191099" w:rsidRPr="00DE22D6" w:rsidRDefault="00191099" w:rsidP="0094317C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Assessment Content</w:t>
            </w: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68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</w:tr>
      <w:tr w:rsidR="00191099" w:rsidRPr="00653461" w:rsidTr="00191099">
        <w:trPr>
          <w:trHeight w:val="214"/>
          <w:tblCellSpacing w:w="21" w:type="dxa"/>
          <w:jc w:val="center"/>
        </w:trPr>
        <w:tc>
          <w:tcPr>
            <w:tcW w:w="2043" w:type="dxa"/>
            <w:vAlign w:val="center"/>
          </w:tcPr>
          <w:p w:rsidR="00191099" w:rsidRPr="00DE22D6" w:rsidRDefault="00191099" w:rsidP="0094317C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Scoring Guides/Rubrics</w:t>
            </w: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68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</w:tr>
      <w:tr w:rsidR="00191099" w:rsidRPr="00653461" w:rsidTr="00191099">
        <w:trPr>
          <w:trHeight w:val="34"/>
          <w:tblCellSpacing w:w="21" w:type="dxa"/>
          <w:jc w:val="center"/>
        </w:trPr>
        <w:tc>
          <w:tcPr>
            <w:tcW w:w="2043" w:type="dxa"/>
            <w:vAlign w:val="center"/>
          </w:tcPr>
          <w:p w:rsidR="00191099" w:rsidRPr="00DE22D6" w:rsidRDefault="00191099" w:rsidP="0094317C">
            <w:pPr>
              <w:spacing w:after="0"/>
              <w:jc w:val="left"/>
              <w:rPr>
                <w:b/>
                <w:bCs/>
              </w:rPr>
            </w:pPr>
            <w:r w:rsidRPr="00DE22D6">
              <w:rPr>
                <w:b/>
                <w:bCs/>
              </w:rPr>
              <w:t>Candidate Performance Data</w:t>
            </w: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68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</w:tr>
      <w:tr w:rsidR="00191099" w:rsidRPr="00653461" w:rsidTr="00191099">
        <w:trPr>
          <w:trHeight w:val="34"/>
          <w:tblCellSpacing w:w="21" w:type="dxa"/>
          <w:jc w:val="center"/>
        </w:trPr>
        <w:tc>
          <w:tcPr>
            <w:tcW w:w="2043" w:type="dxa"/>
            <w:vAlign w:val="center"/>
          </w:tcPr>
          <w:p w:rsidR="00191099" w:rsidRPr="00DE22D6" w:rsidRDefault="00191099" w:rsidP="0094317C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Overall Standard Rating</w:t>
            </w: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3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70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  <w:tc>
          <w:tcPr>
            <w:tcW w:w="682" w:type="dxa"/>
            <w:vAlign w:val="center"/>
          </w:tcPr>
          <w:p w:rsidR="00191099" w:rsidRPr="0001317F" w:rsidRDefault="00191099" w:rsidP="00191099">
            <w:pPr>
              <w:spacing w:after="0"/>
              <w:jc w:val="center"/>
            </w:pPr>
          </w:p>
        </w:tc>
      </w:tr>
    </w:tbl>
    <w:p w:rsidR="00191099" w:rsidRDefault="00191099" w:rsidP="004B343A">
      <w:pPr>
        <w:spacing w:after="0"/>
        <w:rPr>
          <w:rFonts w:eastAsia="Malgun Gothic" w:cs="Arial"/>
          <w:b/>
          <w:bCs/>
        </w:rPr>
      </w:pPr>
    </w:p>
    <w:sectPr w:rsidR="00191099" w:rsidSect="00E95C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7C" w:rsidRDefault="0094317C" w:rsidP="005D7000">
      <w:r>
        <w:separator/>
      </w:r>
    </w:p>
  </w:endnote>
  <w:endnote w:type="continuationSeparator" w:id="0">
    <w:p w:rsidR="0094317C" w:rsidRDefault="0094317C" w:rsidP="005D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C" w:rsidRDefault="009431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C" w:rsidRDefault="009431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C" w:rsidRDefault="009431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7C" w:rsidRDefault="0094317C" w:rsidP="005D7000">
      <w:r>
        <w:separator/>
      </w:r>
    </w:p>
  </w:footnote>
  <w:footnote w:type="continuationSeparator" w:id="0">
    <w:p w:rsidR="0094317C" w:rsidRDefault="0094317C" w:rsidP="005D7000">
      <w:r>
        <w:continuationSeparator/>
      </w:r>
    </w:p>
  </w:footnote>
  <w:footnote w:id="1">
    <w:p w:rsidR="0094317C" w:rsidRPr="009565C7" w:rsidRDefault="0094317C" w:rsidP="00D07729">
      <w:pPr>
        <w:pStyle w:val="FootnoteText"/>
        <w:tabs>
          <w:tab w:val="clear" w:pos="720"/>
          <w:tab w:val="left" w:pos="360"/>
        </w:tabs>
        <w:ind w:left="360" w:hanging="360"/>
        <w:jc w:val="left"/>
      </w:pPr>
      <w:r w:rsidRPr="009565C7">
        <w:rPr>
          <w:rStyle w:val="FootnoteReference"/>
        </w:rPr>
        <w:footnoteRef/>
      </w:r>
      <w:r w:rsidRPr="009565C7">
        <w:t xml:space="preserve"> </w:t>
      </w:r>
      <w:r w:rsidRPr="009565C7">
        <w:tab/>
        <w:t>“Standard” herein mean the seven initial or advanced CEC Preparation Standards with their twenty-eight elements as informed by the appropriate specialty set(s).</w:t>
      </w:r>
    </w:p>
  </w:footnote>
  <w:footnote w:id="2">
    <w:p w:rsidR="0094317C" w:rsidRPr="001F787E" w:rsidRDefault="0094317C" w:rsidP="001F787E">
      <w:pPr>
        <w:pStyle w:val="FootnoteText"/>
        <w:tabs>
          <w:tab w:val="clear" w:pos="720"/>
        </w:tabs>
        <w:ind w:left="360" w:hanging="360"/>
        <w:jc w:val="left"/>
        <w:rPr>
          <w:b/>
          <w:bCs/>
        </w:rPr>
      </w:pPr>
      <w:r w:rsidRPr="00467BE6">
        <w:rPr>
          <w:rStyle w:val="FootnoteReference"/>
          <w:b/>
          <w:bCs/>
        </w:rPr>
        <w:footnoteRef/>
      </w:r>
      <w:r w:rsidRPr="00467BE6">
        <w:rPr>
          <w:b/>
          <w:bCs/>
        </w:rPr>
        <w:t xml:space="preserve"> </w:t>
      </w:r>
      <w:r w:rsidRPr="00467BE6">
        <w:rPr>
          <w:b/>
          <w:bCs/>
        </w:rPr>
        <w:tab/>
      </w:r>
      <w:r w:rsidRPr="00F0437E">
        <w:t>Program assessment components required in Section 4</w:t>
      </w:r>
      <w:r>
        <w:t xml:space="preserve"> of the program report</w:t>
      </w:r>
      <w:r w:rsidRPr="00F0437E">
        <w:t xml:space="preserve"> include the narrative description, the scoring guide, and the candidate performance data.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C" w:rsidRDefault="0094317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212422" o:spid="_x0000_s2050" type="#_x0000_t136" style="position:absolute;left:0;text-align:left;margin-left:0;margin-top:0;width:590.3pt;height:69.45pt;rotation:315;z-index:-251654144;mso-position-horizontal:center;mso-position-horizontal-relative:margin;mso-position-vertical:center;mso-position-vertical-relative:margin" o:allowincell="f" fillcolor="#a5a5a5 [2092]" stroked="f">
          <v:textpath style="font-family:&quot;Arial&quot;;font-size:1pt" string="FOR PILOT ONL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C" w:rsidRPr="00C50675" w:rsidRDefault="0094317C" w:rsidP="000B71F3">
    <w:pPr>
      <w:pStyle w:val="Header"/>
      <w:jc w:val="right"/>
      <w:rPr>
        <w:sz w:val="20"/>
      </w:rPr>
    </w:pPr>
    <w:r w:rsidRPr="003964E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212423" o:spid="_x0000_s2051" type="#_x0000_t136" style="position:absolute;left:0;text-align:left;margin-left:0;margin-top:0;width:590.3pt;height:69.45pt;rotation:315;z-index:-251652096;mso-position-horizontal:center;mso-position-horizontal-relative:margin;mso-position-vertical:center;mso-position-vertical-relative:margin" o:allowincell="f" fillcolor="#a5a5a5 [2092]" stroked="f">
          <v:textpath style="font-family:&quot;Arial&quot;;font-size:1pt" string="FOR PILOT ONLY"/>
          <w10:wrap anchorx="margin" anchory="margin"/>
        </v:shape>
      </w:pict>
    </w:r>
    <w:fldSimple w:instr=" FILENAME   \* MERGEFORMAT ">
      <w:r w:rsidRPr="0012531F">
        <w:rPr>
          <w:noProof/>
          <w:sz w:val="20"/>
        </w:rPr>
        <w:t>4.1A  CEC Reviewer Scoring Guides and</w:t>
      </w:r>
      <w:r>
        <w:rPr>
          <w:noProof/>
        </w:rPr>
        <w:t xml:space="preserve"> Rubrics 03 29 2012</w:t>
      </w:r>
    </w:fldSimple>
  </w:p>
  <w:p w:rsidR="0094317C" w:rsidRDefault="0094317C" w:rsidP="004B343A">
    <w:pPr>
      <w:pStyle w:val="Header"/>
      <w:jc w:val="right"/>
    </w:pPr>
    <w:r w:rsidRPr="00C50675">
      <w:rPr>
        <w:sz w:val="20"/>
      </w:rPr>
      <w:t xml:space="preserve">Page </w:t>
    </w:r>
    <w:r w:rsidRPr="00C50675">
      <w:rPr>
        <w:sz w:val="20"/>
      </w:rPr>
      <w:fldChar w:fldCharType="begin"/>
    </w:r>
    <w:r w:rsidRPr="00C50675">
      <w:rPr>
        <w:sz w:val="20"/>
      </w:rPr>
      <w:instrText xml:space="preserve"> PAGE   \* MERGEFORMAT </w:instrText>
    </w:r>
    <w:r w:rsidRPr="00C50675">
      <w:rPr>
        <w:sz w:val="20"/>
      </w:rPr>
      <w:fldChar w:fldCharType="separate"/>
    </w:r>
    <w:r w:rsidR="00266C07">
      <w:rPr>
        <w:noProof/>
        <w:sz w:val="20"/>
      </w:rPr>
      <w:t>5</w:t>
    </w:r>
    <w:r w:rsidRPr="00C50675">
      <w:rPr>
        <w:sz w:val="20"/>
      </w:rPr>
      <w:fldChar w:fldCharType="end"/>
    </w:r>
    <w:r w:rsidRPr="00C50675">
      <w:rPr>
        <w:sz w:val="20"/>
      </w:rPr>
      <w:t xml:space="preserve"> of </w:t>
    </w:r>
    <w:fldSimple w:instr=" NUMPAGES   \* MERGEFORMAT ">
      <w:r w:rsidR="00266C07" w:rsidRPr="00266C07">
        <w:rPr>
          <w:noProof/>
          <w:sz w:val="20"/>
        </w:rPr>
        <w:t>5</w:t>
      </w:r>
    </w:fldSimple>
  </w:p>
  <w:p w:rsidR="0094317C" w:rsidRDefault="0094317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C" w:rsidRDefault="0094317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212421" o:spid="_x0000_s2049" type="#_x0000_t136" style="position:absolute;left:0;text-align:left;margin-left:0;margin-top:0;width:590.3pt;height:69.45pt;rotation:315;z-index:-251656192;mso-position-horizontal:center;mso-position-horizontal-relative:margin;mso-position-vertical:center;mso-position-vertical-relative:margin" o:allowincell="f" fillcolor="#a5a5a5 [2092]" stroked="f">
          <v:textpath style="font-family:&quot;Arial&quot;;font-size:1pt" string="FOR PILOT ONL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446CC"/>
    <w:multiLevelType w:val="hybridMultilevel"/>
    <w:tmpl w:val="ED64D21A"/>
    <w:lvl w:ilvl="0" w:tplc="EFDEC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61D4"/>
    <w:multiLevelType w:val="hybridMultilevel"/>
    <w:tmpl w:val="B322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57F8"/>
    <w:rsid w:val="00003A5B"/>
    <w:rsid w:val="00007B62"/>
    <w:rsid w:val="0001317F"/>
    <w:rsid w:val="00017647"/>
    <w:rsid w:val="00034426"/>
    <w:rsid w:val="000356B3"/>
    <w:rsid w:val="00037DE9"/>
    <w:rsid w:val="000750A5"/>
    <w:rsid w:val="00082D12"/>
    <w:rsid w:val="00091E56"/>
    <w:rsid w:val="000A3610"/>
    <w:rsid w:val="000B71F3"/>
    <w:rsid w:val="000C05F5"/>
    <w:rsid w:val="000C6D1C"/>
    <w:rsid w:val="000E7C9E"/>
    <w:rsid w:val="000F1C9D"/>
    <w:rsid w:val="00120637"/>
    <w:rsid w:val="0012531F"/>
    <w:rsid w:val="001433A1"/>
    <w:rsid w:val="0016607A"/>
    <w:rsid w:val="00174F20"/>
    <w:rsid w:val="00191099"/>
    <w:rsid w:val="0019144F"/>
    <w:rsid w:val="001A0108"/>
    <w:rsid w:val="001A66F4"/>
    <w:rsid w:val="001E307E"/>
    <w:rsid w:val="001F787E"/>
    <w:rsid w:val="00233BA5"/>
    <w:rsid w:val="00241237"/>
    <w:rsid w:val="0024566F"/>
    <w:rsid w:val="00257022"/>
    <w:rsid w:val="00266C07"/>
    <w:rsid w:val="00272561"/>
    <w:rsid w:val="00283C49"/>
    <w:rsid w:val="00285CF9"/>
    <w:rsid w:val="002939DD"/>
    <w:rsid w:val="002974D9"/>
    <w:rsid w:val="002A205B"/>
    <w:rsid w:val="002E6CD8"/>
    <w:rsid w:val="002F5890"/>
    <w:rsid w:val="00304657"/>
    <w:rsid w:val="00333AEC"/>
    <w:rsid w:val="003366F7"/>
    <w:rsid w:val="003432D5"/>
    <w:rsid w:val="00364E08"/>
    <w:rsid w:val="003964E2"/>
    <w:rsid w:val="003A580C"/>
    <w:rsid w:val="003C168A"/>
    <w:rsid w:val="003C1F2D"/>
    <w:rsid w:val="003C24D8"/>
    <w:rsid w:val="003C41C5"/>
    <w:rsid w:val="003C50B3"/>
    <w:rsid w:val="003E62EF"/>
    <w:rsid w:val="003F2091"/>
    <w:rsid w:val="00402F1E"/>
    <w:rsid w:val="00403725"/>
    <w:rsid w:val="00405223"/>
    <w:rsid w:val="00434B4C"/>
    <w:rsid w:val="0044359B"/>
    <w:rsid w:val="00446608"/>
    <w:rsid w:val="00467BE6"/>
    <w:rsid w:val="00475DB5"/>
    <w:rsid w:val="00481A15"/>
    <w:rsid w:val="004B0266"/>
    <w:rsid w:val="004B343A"/>
    <w:rsid w:val="004C6987"/>
    <w:rsid w:val="004E00D9"/>
    <w:rsid w:val="00503CC4"/>
    <w:rsid w:val="00503FF3"/>
    <w:rsid w:val="005244BB"/>
    <w:rsid w:val="00540EFB"/>
    <w:rsid w:val="0054160B"/>
    <w:rsid w:val="0054668F"/>
    <w:rsid w:val="00553105"/>
    <w:rsid w:val="005844DA"/>
    <w:rsid w:val="005953C8"/>
    <w:rsid w:val="005A5476"/>
    <w:rsid w:val="005D7000"/>
    <w:rsid w:val="005E20C7"/>
    <w:rsid w:val="005E32E0"/>
    <w:rsid w:val="00600B2A"/>
    <w:rsid w:val="0061043B"/>
    <w:rsid w:val="00632369"/>
    <w:rsid w:val="00640616"/>
    <w:rsid w:val="00646677"/>
    <w:rsid w:val="00651006"/>
    <w:rsid w:val="00653461"/>
    <w:rsid w:val="00655A12"/>
    <w:rsid w:val="00663E97"/>
    <w:rsid w:val="00675C7B"/>
    <w:rsid w:val="00683526"/>
    <w:rsid w:val="0069642F"/>
    <w:rsid w:val="006A6257"/>
    <w:rsid w:val="006E57F8"/>
    <w:rsid w:val="006E732F"/>
    <w:rsid w:val="006F54BD"/>
    <w:rsid w:val="006F5F0F"/>
    <w:rsid w:val="00711DD2"/>
    <w:rsid w:val="0073418C"/>
    <w:rsid w:val="00734F87"/>
    <w:rsid w:val="007558E0"/>
    <w:rsid w:val="007578F7"/>
    <w:rsid w:val="007654AC"/>
    <w:rsid w:val="0076734E"/>
    <w:rsid w:val="00781DCE"/>
    <w:rsid w:val="0078561B"/>
    <w:rsid w:val="00795655"/>
    <w:rsid w:val="007B79CC"/>
    <w:rsid w:val="007C2C8D"/>
    <w:rsid w:val="00802C5D"/>
    <w:rsid w:val="00811CCB"/>
    <w:rsid w:val="00836668"/>
    <w:rsid w:val="008450A1"/>
    <w:rsid w:val="00853166"/>
    <w:rsid w:val="008666A3"/>
    <w:rsid w:val="008A538A"/>
    <w:rsid w:val="008B1B0B"/>
    <w:rsid w:val="008B2795"/>
    <w:rsid w:val="008C4D57"/>
    <w:rsid w:val="008D38B3"/>
    <w:rsid w:val="008D68AD"/>
    <w:rsid w:val="008E2F87"/>
    <w:rsid w:val="008F0349"/>
    <w:rsid w:val="009021F9"/>
    <w:rsid w:val="009272D1"/>
    <w:rsid w:val="00940991"/>
    <w:rsid w:val="0094317C"/>
    <w:rsid w:val="009565C7"/>
    <w:rsid w:val="009573E2"/>
    <w:rsid w:val="00992E82"/>
    <w:rsid w:val="009A2C12"/>
    <w:rsid w:val="009B485A"/>
    <w:rsid w:val="009E0F1F"/>
    <w:rsid w:val="009F62DD"/>
    <w:rsid w:val="00A03913"/>
    <w:rsid w:val="00A15BE7"/>
    <w:rsid w:val="00A43428"/>
    <w:rsid w:val="00A44686"/>
    <w:rsid w:val="00A447DC"/>
    <w:rsid w:val="00A6207B"/>
    <w:rsid w:val="00A77DA2"/>
    <w:rsid w:val="00AC1A66"/>
    <w:rsid w:val="00AC4255"/>
    <w:rsid w:val="00AD18DF"/>
    <w:rsid w:val="00AD20B5"/>
    <w:rsid w:val="00B55FCF"/>
    <w:rsid w:val="00B80F9E"/>
    <w:rsid w:val="00BA2140"/>
    <w:rsid w:val="00BB3A49"/>
    <w:rsid w:val="00BB52DE"/>
    <w:rsid w:val="00BC75AC"/>
    <w:rsid w:val="00C07F92"/>
    <w:rsid w:val="00C2250F"/>
    <w:rsid w:val="00C4657D"/>
    <w:rsid w:val="00C81D10"/>
    <w:rsid w:val="00C825EE"/>
    <w:rsid w:val="00C90767"/>
    <w:rsid w:val="00C92164"/>
    <w:rsid w:val="00C93FB9"/>
    <w:rsid w:val="00CD18E9"/>
    <w:rsid w:val="00CD1FB7"/>
    <w:rsid w:val="00CE0D9D"/>
    <w:rsid w:val="00D05E68"/>
    <w:rsid w:val="00D06971"/>
    <w:rsid w:val="00D07729"/>
    <w:rsid w:val="00D37775"/>
    <w:rsid w:val="00D52D0F"/>
    <w:rsid w:val="00D61A41"/>
    <w:rsid w:val="00D85CE8"/>
    <w:rsid w:val="00DC5C7E"/>
    <w:rsid w:val="00DE22D6"/>
    <w:rsid w:val="00DE6AF0"/>
    <w:rsid w:val="00E0069F"/>
    <w:rsid w:val="00E11C09"/>
    <w:rsid w:val="00E12856"/>
    <w:rsid w:val="00E16D59"/>
    <w:rsid w:val="00E27F44"/>
    <w:rsid w:val="00E33593"/>
    <w:rsid w:val="00E335FF"/>
    <w:rsid w:val="00E4551E"/>
    <w:rsid w:val="00E55232"/>
    <w:rsid w:val="00E7704D"/>
    <w:rsid w:val="00E9259D"/>
    <w:rsid w:val="00E95C90"/>
    <w:rsid w:val="00EA20E0"/>
    <w:rsid w:val="00EC027E"/>
    <w:rsid w:val="00F0437E"/>
    <w:rsid w:val="00F17E7A"/>
    <w:rsid w:val="00F21B0D"/>
    <w:rsid w:val="00F23361"/>
    <w:rsid w:val="00F42129"/>
    <w:rsid w:val="00F42711"/>
    <w:rsid w:val="00F60F2E"/>
    <w:rsid w:val="00F66A50"/>
    <w:rsid w:val="00F70C86"/>
    <w:rsid w:val="00F83337"/>
    <w:rsid w:val="00F83E5C"/>
    <w:rsid w:val="00F86982"/>
    <w:rsid w:val="00F972CA"/>
    <w:rsid w:val="00FB774E"/>
    <w:rsid w:val="00FF2BF4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9E0F1F"/>
    <w:pPr>
      <w:tabs>
        <w:tab w:val="left" w:pos="720"/>
      </w:tabs>
      <w:autoSpaceDE w:val="0"/>
      <w:autoSpaceDN w:val="0"/>
      <w:adjustRightInd w:val="0"/>
      <w:spacing w:after="120"/>
      <w:jc w:val="both"/>
    </w:pPr>
    <w:rPr>
      <w:rFonts w:ascii="Arial" w:eastAsiaTheme="minorEastAsia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F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0F1F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0F1F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57F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6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68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B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33BA5"/>
  </w:style>
  <w:style w:type="character" w:customStyle="1" w:styleId="CommentTextChar">
    <w:name w:val="Comment Text Char"/>
    <w:basedOn w:val="DefaultParagraphFont"/>
    <w:link w:val="CommentText"/>
    <w:uiPriority w:val="99"/>
    <w:rsid w:val="00233BA5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BA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B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466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66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4660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E0F1F"/>
    <w:rPr>
      <w:rFonts w:ascii="Cambria" w:eastAsiaTheme="minorEastAsia" w:hAnsi="Cambria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E0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E0F1F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qFormat/>
    <w:rsid w:val="00017647"/>
    <w:pPr>
      <w:pBdr>
        <w:bottom w:val="single" w:sz="8" w:space="4" w:color="4F81BD"/>
      </w:pBdr>
      <w:tabs>
        <w:tab w:val="clear" w:pos="720"/>
      </w:tabs>
      <w:autoSpaceDE/>
      <w:autoSpaceDN/>
      <w:adjustRightInd/>
      <w:contextualSpacing/>
      <w:outlineLvl w:val="0"/>
    </w:pPr>
    <w:rPr>
      <w:b/>
      <w:bCs/>
      <w:noProof/>
      <w:color w:val="17365D"/>
      <w:spacing w:val="5"/>
      <w:kern w:val="28"/>
      <w:sz w:val="28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017647"/>
    <w:rPr>
      <w:rFonts w:ascii="Arial" w:eastAsiaTheme="minorEastAsia" w:hAnsi="Arial" w:cstheme="minorBidi"/>
      <w:b/>
      <w:bCs/>
      <w:noProof/>
      <w:color w:val="17365D"/>
      <w:spacing w:val="5"/>
      <w:kern w:val="28"/>
      <w:sz w:val="28"/>
      <w:szCs w:val="52"/>
      <w:lang w:bidi="en-US"/>
    </w:rPr>
  </w:style>
  <w:style w:type="paragraph" w:styleId="NoSpacing">
    <w:name w:val="No Spacing"/>
    <w:uiPriority w:val="1"/>
    <w:qFormat/>
    <w:rsid w:val="009E0F1F"/>
    <w:rPr>
      <w:rFonts w:ascii="Calibri" w:eastAsiaTheme="majorEastAsia" w:hAnsi="Calibr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E0F1F"/>
    <w:pPr>
      <w:ind w:left="720"/>
      <w:contextualSpacing/>
    </w:pPr>
  </w:style>
  <w:style w:type="paragraph" w:customStyle="1" w:styleId="SectionTitle">
    <w:name w:val="Section Title"/>
    <w:basedOn w:val="Title"/>
    <w:next w:val="Normal"/>
    <w:autoRedefine/>
    <w:qFormat/>
    <w:rsid w:val="009E0F1F"/>
    <w:rPr>
      <w:rFonts w:eastAsia="Times New Roman" w:cs="Times New Roman"/>
      <w:sz w:val="44"/>
    </w:rPr>
  </w:style>
  <w:style w:type="paragraph" w:customStyle="1" w:styleId="RWMtitle">
    <w:name w:val="RWM title"/>
    <w:basedOn w:val="Title"/>
    <w:autoRedefine/>
    <w:qFormat/>
    <w:rsid w:val="0054668F"/>
    <w:pPr>
      <w:outlineLvl w:val="9"/>
    </w:pPr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AC1A66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66"/>
    <w:rPr>
      <w:rFonts w:ascii="Arial" w:eastAsiaTheme="minorEastAsia" w:hAnsi="Arial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1A66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66"/>
    <w:rPr>
      <w:rFonts w:ascii="Arial" w:eastAsiaTheme="minorEastAsia" w:hAnsi="Arial" w:cstheme="minorBidi"/>
      <w:sz w:val="22"/>
      <w:szCs w:val="22"/>
    </w:rPr>
  </w:style>
  <w:style w:type="paragraph" w:customStyle="1" w:styleId="Body">
    <w:name w:val="Body"/>
    <w:basedOn w:val="FootnoteText"/>
    <w:rsid w:val="001F787E"/>
    <w:pPr>
      <w:jc w:val="left"/>
    </w:pPr>
  </w:style>
  <w:style w:type="paragraph" w:customStyle="1" w:styleId="Bodyn">
    <w:name w:val="Bodyn"/>
    <w:basedOn w:val="Body"/>
    <w:rsid w:val="001F787E"/>
  </w:style>
  <w:style w:type="paragraph" w:styleId="EndnoteText">
    <w:name w:val="endnote text"/>
    <w:basedOn w:val="Normal"/>
    <w:link w:val="EndnoteTextChar"/>
    <w:uiPriority w:val="99"/>
    <w:unhideWhenUsed/>
    <w:rsid w:val="001F787E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F787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787E"/>
    <w:rPr>
      <w:rFonts w:ascii="Consolas" w:eastAsiaTheme="minorEastAsia" w:hAnsi="Consolas" w:cstheme="minorBidi"/>
      <w:b/>
      <w:bCs/>
      <w:sz w:val="21"/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F787E"/>
    <w:rPr>
      <w:rFonts w:ascii="Arial" w:eastAsiaTheme="minorEastAsia" w:hAnsi="Arial" w:cstheme="minorBidi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sid w:val="001F787E"/>
    <w:rPr>
      <w:vertAlign w:val="superscript"/>
    </w:rPr>
  </w:style>
  <w:style w:type="paragraph" w:styleId="Revision">
    <w:name w:val="Revision"/>
    <w:hidden/>
    <w:uiPriority w:val="99"/>
    <w:semiHidden/>
    <w:rsid w:val="008450A1"/>
    <w:rPr>
      <w:rFonts w:ascii="Arial" w:eastAsiaTheme="minorEastAsia" w:hAnsi="Arial" w:cstheme="minorBidi"/>
      <w:b/>
      <w:bCs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36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610"/>
    <w:rPr>
      <w:rFonts w:ascii="Tahoma" w:eastAsiaTheme="minorEastAsi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94127-422B-46E0-9EC8-744F2D958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8CAA7-759E-45DD-93B8-ECC990F69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8E2E3-F209-4707-BD98-3F1CC69313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56576-A295-453C-9DAF-2F026587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CEC Reviewer Scoring Guide and Rubric</vt:lpstr>
      <vt:lpstr>CEC Clinical Preparation Scoring Guide</vt:lpstr>
      <vt:lpstr>CEC Preparation Standard Rubric Reviewer Worksheet</vt:lpstr>
    </vt:vector>
  </TitlesOfParts>
  <Company>Northern KY University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Rachelle Bruno</dc:creator>
  <cp:lastModifiedBy>ortiz</cp:lastModifiedBy>
  <cp:revision>11</cp:revision>
  <cp:lastPrinted>2012-03-30T14:45:00Z</cp:lastPrinted>
  <dcterms:created xsi:type="dcterms:W3CDTF">2012-03-30T13:14:00Z</dcterms:created>
  <dcterms:modified xsi:type="dcterms:W3CDTF">2012-04-09T14:58:00Z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My two cents</vt:lpwstr>
  </property>
  <property fmtid="{D5CDD505-2E9C-101B-9397-08002B2CF9AE}" pid="4" name="_AuthorEmail">
    <vt:lpwstr>RICHARDM@cec.sped.org</vt:lpwstr>
  </property>
  <property fmtid="{D5CDD505-2E9C-101B-9397-08002B2CF9AE}" pid="5" name="_AuthorEmailDisplayName">
    <vt:lpwstr>Richard Mainzer</vt:lpwstr>
  </property>
</Properties>
</file>