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67" w:rsidRPr="000C21EC" w:rsidRDefault="006C0567" w:rsidP="00FC0E8C">
      <w:pPr>
        <w:shd w:val="clear" w:color="auto" w:fill="E0E0E0"/>
        <w:ind w:right="-360"/>
        <w:jc w:val="center"/>
        <w:rPr>
          <w:rFonts w:ascii="Arial" w:hAnsi="Arial" w:cs="Arial"/>
          <w:b/>
          <w:sz w:val="22"/>
          <w:szCs w:val="22"/>
        </w:rPr>
      </w:pPr>
      <w:r w:rsidRPr="000C21EC">
        <w:rPr>
          <w:rFonts w:ascii="Arial" w:hAnsi="Arial" w:cs="Arial"/>
          <w:b/>
          <w:sz w:val="26"/>
          <w:szCs w:val="26"/>
        </w:rPr>
        <w:t xml:space="preserve">SECTION </w:t>
      </w:r>
      <w:smartTag w:uri="urn:schemas-microsoft-com:office:smarttags" w:element="stockticker">
        <w:r w:rsidRPr="000C21EC">
          <w:rPr>
            <w:rFonts w:ascii="Arial" w:hAnsi="Arial" w:cs="Arial"/>
            <w:b/>
            <w:sz w:val="26"/>
            <w:szCs w:val="26"/>
          </w:rPr>
          <w:t>III</w:t>
        </w:r>
      </w:smartTag>
      <w:r w:rsidRPr="000C21EC">
        <w:rPr>
          <w:rFonts w:ascii="Arial" w:hAnsi="Arial" w:cs="Arial"/>
          <w:b/>
          <w:sz w:val="26"/>
          <w:szCs w:val="26"/>
        </w:rPr>
        <w:t xml:space="preserve"> </w:t>
      </w:r>
      <w:r w:rsidR="00FC0E8C">
        <w:rPr>
          <w:rFonts w:ascii="Arial" w:hAnsi="Arial" w:cs="Arial"/>
          <w:b/>
          <w:sz w:val="26"/>
          <w:szCs w:val="26"/>
        </w:rPr>
        <w:t xml:space="preserve">PROGRAM </w:t>
      </w:r>
      <w:r w:rsidRPr="000C21EC">
        <w:rPr>
          <w:rFonts w:ascii="Arial" w:hAnsi="Arial" w:cs="Arial"/>
          <w:b/>
          <w:sz w:val="26"/>
          <w:szCs w:val="26"/>
        </w:rPr>
        <w:t xml:space="preserve">ASSESSMENT TO </w:t>
      </w:r>
      <w:r w:rsidR="00FC0E8C">
        <w:rPr>
          <w:rFonts w:ascii="Arial" w:hAnsi="Arial" w:cs="Arial"/>
          <w:b/>
          <w:sz w:val="26"/>
          <w:szCs w:val="26"/>
        </w:rPr>
        <w:t xml:space="preserve">CEC PREPARATION </w:t>
      </w:r>
      <w:r w:rsidRPr="000C21EC">
        <w:rPr>
          <w:rFonts w:ascii="Arial" w:hAnsi="Arial" w:cs="Arial"/>
          <w:b/>
          <w:sz w:val="26"/>
          <w:szCs w:val="26"/>
        </w:rPr>
        <w:t>STANDARDS</w:t>
      </w:r>
      <w:r w:rsidR="00651DB7">
        <w:rPr>
          <w:rFonts w:ascii="Arial" w:hAnsi="Arial" w:cs="Arial"/>
          <w:b/>
          <w:sz w:val="26"/>
          <w:szCs w:val="26"/>
        </w:rPr>
        <w:t xml:space="preserve"> ALIGNMENT</w:t>
      </w:r>
    </w:p>
    <w:p w:rsidR="00651DB7" w:rsidRDefault="00651DB7" w:rsidP="002C59B4">
      <w:pPr>
        <w:jc w:val="both"/>
        <w:rPr>
          <w:rFonts w:ascii="Arial" w:hAnsi="Arial" w:cs="Arial"/>
          <w:sz w:val="22"/>
          <w:szCs w:val="22"/>
        </w:rPr>
      </w:pPr>
    </w:p>
    <w:p w:rsidR="006C0567" w:rsidRPr="000C21EC" w:rsidRDefault="006C0567" w:rsidP="00350FFF">
      <w:pPr>
        <w:jc w:val="both"/>
        <w:rPr>
          <w:rFonts w:ascii="Arial" w:hAnsi="Arial" w:cs="Arial"/>
          <w:sz w:val="22"/>
          <w:szCs w:val="22"/>
        </w:rPr>
      </w:pPr>
      <w:r w:rsidRPr="000C21EC">
        <w:rPr>
          <w:rFonts w:ascii="Arial" w:hAnsi="Arial" w:cs="Arial"/>
          <w:sz w:val="22"/>
          <w:szCs w:val="22"/>
        </w:rPr>
        <w:t xml:space="preserve">For each </w:t>
      </w:r>
      <w:smartTag w:uri="urn:schemas-microsoft-com:office:smarttags" w:element="stockticker">
        <w:r w:rsidRPr="000C21EC">
          <w:rPr>
            <w:rFonts w:ascii="Arial" w:hAnsi="Arial" w:cs="Arial"/>
            <w:sz w:val="22"/>
            <w:szCs w:val="22"/>
          </w:rPr>
          <w:t>CEC</w:t>
        </w:r>
      </w:smartTag>
      <w:r w:rsidRPr="000C21EC">
        <w:rPr>
          <w:rFonts w:ascii="Arial" w:hAnsi="Arial" w:cs="Arial"/>
          <w:sz w:val="22"/>
          <w:szCs w:val="22"/>
        </w:rPr>
        <w:t xml:space="preserve"> </w:t>
      </w:r>
      <w:r w:rsidR="00350FFF">
        <w:rPr>
          <w:rFonts w:ascii="Arial" w:hAnsi="Arial" w:cs="Arial"/>
          <w:sz w:val="22"/>
          <w:szCs w:val="22"/>
        </w:rPr>
        <w:t>Preparation Standard</w:t>
      </w:r>
      <w:r w:rsidRPr="000C21EC">
        <w:rPr>
          <w:rFonts w:ascii="Arial" w:hAnsi="Arial" w:cs="Arial"/>
          <w:sz w:val="22"/>
          <w:szCs w:val="22"/>
        </w:rPr>
        <w:t xml:space="preserve"> below, identify the </w:t>
      </w:r>
      <w:r w:rsidR="00350FFF">
        <w:rPr>
          <w:rFonts w:ascii="Arial" w:hAnsi="Arial" w:cs="Arial"/>
          <w:sz w:val="22"/>
          <w:szCs w:val="22"/>
        </w:rPr>
        <w:t xml:space="preserve">program </w:t>
      </w:r>
      <w:r w:rsidRPr="000C21EC">
        <w:rPr>
          <w:rFonts w:ascii="Arial" w:hAnsi="Arial" w:cs="Arial"/>
          <w:sz w:val="22"/>
          <w:szCs w:val="22"/>
        </w:rPr>
        <w:t xml:space="preserve">assessment(s) in </w:t>
      </w:r>
      <w:r w:rsidR="00350FFF">
        <w:rPr>
          <w:rFonts w:ascii="Arial" w:hAnsi="Arial" w:cs="Arial"/>
          <w:sz w:val="22"/>
          <w:szCs w:val="22"/>
        </w:rPr>
        <w:t xml:space="preserve">identified </w:t>
      </w:r>
      <w:r w:rsidRPr="000C21EC">
        <w:rPr>
          <w:rFonts w:ascii="Arial" w:hAnsi="Arial" w:cs="Arial"/>
          <w:sz w:val="22"/>
          <w:szCs w:val="22"/>
        </w:rPr>
        <w:t xml:space="preserve">Section II that </w:t>
      </w:r>
      <w:r w:rsidR="00350FFF">
        <w:rPr>
          <w:rFonts w:ascii="Arial" w:hAnsi="Arial" w:cs="Arial"/>
          <w:sz w:val="22"/>
          <w:szCs w:val="22"/>
        </w:rPr>
        <w:t>align to the S</w:t>
      </w:r>
      <w:r w:rsidRPr="000C21EC">
        <w:rPr>
          <w:rFonts w:ascii="Arial" w:hAnsi="Arial" w:cs="Arial"/>
          <w:sz w:val="22"/>
          <w:szCs w:val="22"/>
        </w:rPr>
        <w:t xml:space="preserve">tandard. </w:t>
      </w:r>
      <w:r w:rsidR="00350FFF">
        <w:rPr>
          <w:rFonts w:ascii="Arial" w:hAnsi="Arial" w:cs="Arial"/>
          <w:sz w:val="22"/>
          <w:szCs w:val="22"/>
        </w:rPr>
        <w:t xml:space="preserve"> </w:t>
      </w:r>
      <w:r w:rsidRPr="000C21EC">
        <w:rPr>
          <w:rFonts w:ascii="Arial" w:hAnsi="Arial" w:cs="Arial"/>
          <w:sz w:val="22"/>
          <w:szCs w:val="22"/>
        </w:rPr>
        <w:t xml:space="preserve">One </w:t>
      </w:r>
      <w:r w:rsidR="00350FFF">
        <w:rPr>
          <w:rFonts w:ascii="Arial" w:hAnsi="Arial" w:cs="Arial"/>
          <w:sz w:val="22"/>
          <w:szCs w:val="22"/>
        </w:rPr>
        <w:t xml:space="preserve">program </w:t>
      </w:r>
      <w:r w:rsidRPr="000C21EC">
        <w:rPr>
          <w:rFonts w:ascii="Arial" w:hAnsi="Arial" w:cs="Arial"/>
          <w:sz w:val="22"/>
          <w:szCs w:val="22"/>
        </w:rPr>
        <w:t xml:space="preserve">assessment may </w:t>
      </w:r>
      <w:r w:rsidR="00350FFF">
        <w:rPr>
          <w:rFonts w:ascii="Arial" w:hAnsi="Arial" w:cs="Arial"/>
          <w:sz w:val="22"/>
          <w:szCs w:val="22"/>
        </w:rPr>
        <w:t>be cited for</w:t>
      </w:r>
      <w:r w:rsidRPr="000C21EC">
        <w:rPr>
          <w:rFonts w:ascii="Arial" w:hAnsi="Arial" w:cs="Arial"/>
          <w:sz w:val="22"/>
          <w:szCs w:val="22"/>
        </w:rPr>
        <w:t xml:space="preserve"> multiple </w:t>
      </w:r>
      <w:smartTag w:uri="urn:schemas-microsoft-com:office:smarttags" w:element="stockticker">
        <w:r w:rsidRPr="000C21EC">
          <w:rPr>
            <w:rFonts w:ascii="Arial" w:hAnsi="Arial" w:cs="Arial"/>
            <w:sz w:val="22"/>
            <w:szCs w:val="22"/>
          </w:rPr>
          <w:t>CEC</w:t>
        </w:r>
      </w:smartTag>
      <w:r w:rsidRPr="000C21EC">
        <w:rPr>
          <w:rFonts w:ascii="Arial" w:hAnsi="Arial" w:cs="Arial"/>
          <w:sz w:val="22"/>
          <w:szCs w:val="22"/>
        </w:rPr>
        <w:t xml:space="preserve"> standards</w:t>
      </w:r>
      <w:r w:rsidR="000C21EC">
        <w:rPr>
          <w:rFonts w:ascii="Arial" w:hAnsi="Arial" w:cs="Arial"/>
          <w:sz w:val="22"/>
          <w:szCs w:val="22"/>
        </w:rPr>
        <w:t>.</w:t>
      </w:r>
    </w:p>
    <w:tbl>
      <w:tblPr>
        <w:tblW w:w="93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tblPr>
      <w:tblGrid>
        <w:gridCol w:w="7073"/>
        <w:gridCol w:w="2287"/>
      </w:tblGrid>
      <w:tr w:rsidR="006C0567" w:rsidRPr="000C21EC" w:rsidTr="00D33F1E">
        <w:trPr>
          <w:tblHeader/>
          <w:tblCellSpacing w:w="21" w:type="dxa"/>
          <w:jc w:val="center"/>
        </w:trPr>
        <w:tc>
          <w:tcPr>
            <w:tcW w:w="7010" w:type="dxa"/>
            <w:tcBorders>
              <w:bottom w:val="single" w:sz="4" w:space="0" w:color="auto"/>
            </w:tcBorders>
            <w:shd w:val="clear" w:color="auto" w:fill="BFBFBF" w:themeFill="background1" w:themeFillShade="BF"/>
            <w:vAlign w:val="center"/>
          </w:tcPr>
          <w:p w:rsidR="006C0567" w:rsidRPr="00D33F1E" w:rsidRDefault="006C0567" w:rsidP="00D33F1E">
            <w:pPr>
              <w:jc w:val="center"/>
              <w:rPr>
                <w:rFonts w:ascii="Arial" w:hAnsi="Arial" w:cs="Arial"/>
                <w:b/>
                <w:color w:val="000000" w:themeColor="text1"/>
                <w:szCs w:val="20"/>
              </w:rPr>
            </w:pPr>
            <w:r w:rsidRPr="00D33F1E">
              <w:rPr>
                <w:rFonts w:ascii="Arial" w:hAnsi="Arial" w:cs="Arial"/>
                <w:b/>
                <w:color w:val="000000" w:themeColor="text1"/>
                <w:szCs w:val="20"/>
              </w:rPr>
              <w:t>CEC STANDARD</w:t>
            </w:r>
          </w:p>
        </w:tc>
        <w:tc>
          <w:tcPr>
            <w:tcW w:w="2224" w:type="dxa"/>
            <w:tcBorders>
              <w:bottom w:val="single" w:sz="4" w:space="0" w:color="auto"/>
            </w:tcBorders>
            <w:shd w:val="clear" w:color="auto" w:fill="BFBFBF" w:themeFill="background1" w:themeFillShade="BF"/>
            <w:vAlign w:val="center"/>
          </w:tcPr>
          <w:p w:rsidR="006C0567" w:rsidRPr="00D33F1E" w:rsidRDefault="006C0567" w:rsidP="00D33F1E">
            <w:pPr>
              <w:jc w:val="center"/>
              <w:rPr>
                <w:rFonts w:ascii="Arial" w:hAnsi="Arial" w:cs="Arial"/>
                <w:b/>
                <w:color w:val="000000" w:themeColor="text1"/>
                <w:szCs w:val="20"/>
              </w:rPr>
            </w:pPr>
            <w:r w:rsidRPr="00D33F1E">
              <w:rPr>
                <w:rFonts w:ascii="Arial" w:hAnsi="Arial" w:cs="Arial"/>
                <w:b/>
                <w:color w:val="000000" w:themeColor="text1"/>
                <w:szCs w:val="20"/>
              </w:rPr>
              <w:t>APPLICABLE ASSESSMENTS</w:t>
            </w:r>
          </w:p>
        </w:tc>
      </w:tr>
    </w:tbl>
    <w:p w:rsidR="00D33F1E" w:rsidRDefault="00D33F1E"/>
    <w:tbl>
      <w:tblPr>
        <w:tblW w:w="93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tblPr>
      <w:tblGrid>
        <w:gridCol w:w="7073"/>
        <w:gridCol w:w="2287"/>
      </w:tblGrid>
      <w:tr w:rsidR="006C0567" w:rsidRPr="00074345" w:rsidTr="00D33F1E">
        <w:trPr>
          <w:trHeight w:val="179"/>
          <w:tblCellSpacing w:w="21" w:type="dxa"/>
          <w:jc w:val="center"/>
        </w:trPr>
        <w:tc>
          <w:tcPr>
            <w:tcW w:w="9276" w:type="dxa"/>
            <w:gridSpan w:val="2"/>
            <w:shd w:val="clear" w:color="auto" w:fill="BFBFBF" w:themeFill="background1" w:themeFillShade="BF"/>
          </w:tcPr>
          <w:p w:rsidR="006C0567" w:rsidRPr="00074345" w:rsidRDefault="006C0567" w:rsidP="00074345">
            <w:pPr>
              <w:jc w:val="center"/>
              <w:rPr>
                <w:rFonts w:ascii="Arial" w:hAnsi="Arial" w:cs="Arial"/>
                <w:b/>
                <w:color w:val="000000" w:themeColor="text1"/>
                <w:szCs w:val="20"/>
              </w:rPr>
            </w:pPr>
            <w:r w:rsidRPr="00074345">
              <w:rPr>
                <w:rFonts w:ascii="Arial" w:hAnsi="Arial" w:cs="Arial"/>
                <w:b/>
                <w:color w:val="000000" w:themeColor="text1"/>
                <w:szCs w:val="20"/>
              </w:rPr>
              <w:t>CLINICAL PRACTICE STANDARD</w:t>
            </w:r>
          </w:p>
        </w:tc>
      </w:tr>
      <w:tr w:rsidR="006C0567" w:rsidRPr="000C21EC" w:rsidTr="00D33F1E">
        <w:trPr>
          <w:trHeight w:val="620"/>
          <w:tblCellSpacing w:w="21" w:type="dxa"/>
          <w:jc w:val="center"/>
        </w:trPr>
        <w:tc>
          <w:tcPr>
            <w:tcW w:w="7010" w:type="dxa"/>
            <w:tcBorders>
              <w:bottom w:val="single" w:sz="4" w:space="0" w:color="auto"/>
            </w:tcBorders>
          </w:tcPr>
          <w:p w:rsidR="006C0567" w:rsidRPr="00074345" w:rsidRDefault="006C0567" w:rsidP="00074345">
            <w:pPr>
              <w:tabs>
                <w:tab w:val="left" w:pos="4320"/>
              </w:tabs>
              <w:spacing w:before="120" w:after="120"/>
              <w:rPr>
                <w:rFonts w:ascii="Arial" w:hAnsi="Arial" w:cs="Arial"/>
                <w:b/>
                <w:i/>
                <w:iCs/>
                <w:color w:val="000000" w:themeColor="text1"/>
                <w:sz w:val="22"/>
              </w:rPr>
            </w:pPr>
            <w:r w:rsidRPr="00074345">
              <w:rPr>
                <w:rFonts w:ascii="Arial" w:hAnsi="Arial" w:cs="Arial"/>
                <w:b/>
                <w:i/>
                <w:iCs/>
                <w:color w:val="000000" w:themeColor="text1"/>
                <w:sz w:val="22"/>
              </w:rPr>
              <w:t xml:space="preserve">Special education candidates progress through a series of developmentally sequenced </w:t>
            </w:r>
            <w:r w:rsidR="00FF12F7" w:rsidRPr="00074345">
              <w:rPr>
                <w:rFonts w:ascii="Arial" w:hAnsi="Arial" w:cs="Arial"/>
                <w:b/>
                <w:i/>
                <w:iCs/>
                <w:color w:val="000000" w:themeColor="text1"/>
                <w:sz w:val="22"/>
              </w:rPr>
              <w:t>clinical</w:t>
            </w:r>
            <w:r w:rsidRPr="00074345">
              <w:rPr>
                <w:rFonts w:ascii="Arial" w:hAnsi="Arial" w:cs="Arial"/>
                <w:b/>
                <w:i/>
                <w:iCs/>
                <w:color w:val="000000" w:themeColor="text1"/>
                <w:sz w:val="22"/>
              </w:rPr>
              <w:t xml:space="preserve"> experiences for the full range of ages, types and levels of abilities, and collaborative opportunities that are appropriate to the license or roles for which they are preparing. </w:t>
            </w:r>
            <w:r w:rsidR="00FF12F7" w:rsidRPr="00074345">
              <w:rPr>
                <w:rFonts w:ascii="Arial" w:hAnsi="Arial" w:cs="Arial"/>
                <w:b/>
                <w:i/>
                <w:iCs/>
                <w:color w:val="000000" w:themeColor="text1"/>
                <w:sz w:val="22"/>
              </w:rPr>
              <w:t xml:space="preserve"> C</w:t>
            </w:r>
            <w:r w:rsidRPr="00074345">
              <w:rPr>
                <w:rFonts w:ascii="Arial" w:hAnsi="Arial" w:cs="Arial"/>
                <w:b/>
                <w:i/>
                <w:iCs/>
                <w:color w:val="000000" w:themeColor="text1"/>
                <w:sz w:val="22"/>
              </w:rPr>
              <w:t>linical experiences are supervised by qualified professionals.</w:t>
            </w:r>
          </w:p>
        </w:tc>
        <w:tc>
          <w:tcPr>
            <w:tcW w:w="2224" w:type="dxa"/>
            <w:tcBorders>
              <w:bottom w:val="single" w:sz="4" w:space="0" w:color="auto"/>
            </w:tcBorders>
            <w:vAlign w:val="center"/>
          </w:tcPr>
          <w:p w:rsidR="006C0567" w:rsidRPr="000C21EC" w:rsidRDefault="006C0567" w:rsidP="00074345">
            <w:pPr>
              <w:jc w:val="center"/>
              <w:rPr>
                <w:rFonts w:ascii="Arial" w:hAnsi="Arial" w:cs="Arial"/>
                <w:sz w:val="22"/>
                <w:szCs w:val="22"/>
              </w:rPr>
            </w:pPr>
            <w:r w:rsidRPr="000C21EC">
              <w:rPr>
                <w:rFonts w:ascii="Arial" w:hAnsi="Arial" w:cs="Arial"/>
                <w:sz w:val="22"/>
                <w:szCs w:val="22"/>
              </w:rPr>
              <w:t>Information in Section I</w:t>
            </w:r>
          </w:p>
        </w:tc>
      </w:tr>
    </w:tbl>
    <w:p w:rsidR="00A575E8" w:rsidRDefault="00A575E8"/>
    <w:tbl>
      <w:tblPr>
        <w:tblStyle w:val="TableGrid"/>
        <w:tblW w:w="9360" w:type="dxa"/>
        <w:jc w:val="center"/>
        <w:tblCellSpacing w:w="21" w:type="dxa"/>
        <w:tblCellMar>
          <w:top w:w="43" w:type="dxa"/>
          <w:left w:w="43" w:type="dxa"/>
          <w:bottom w:w="43" w:type="dxa"/>
          <w:right w:w="43" w:type="dxa"/>
        </w:tblCellMar>
        <w:tblLook w:val="04A0"/>
      </w:tblPr>
      <w:tblGrid>
        <w:gridCol w:w="7155"/>
        <w:gridCol w:w="2205"/>
      </w:tblGrid>
      <w:tr w:rsidR="00A575E8" w:rsidRPr="00A55F3F" w:rsidTr="00074345">
        <w:trPr>
          <w:tblCellSpacing w:w="21" w:type="dxa"/>
          <w:jc w:val="center"/>
        </w:trPr>
        <w:tc>
          <w:tcPr>
            <w:tcW w:w="9466" w:type="dxa"/>
            <w:gridSpan w:val="2"/>
            <w:shd w:val="clear" w:color="auto" w:fill="BFBFBF" w:themeFill="background1" w:themeFillShade="BF"/>
          </w:tcPr>
          <w:p w:rsidR="00A575E8" w:rsidRPr="00A575E8" w:rsidRDefault="00A575E8" w:rsidP="00A575E8">
            <w:pPr>
              <w:jc w:val="center"/>
              <w:rPr>
                <w:rFonts w:ascii="Arial" w:hAnsi="Arial" w:cs="Arial"/>
                <w:b/>
                <w:bCs/>
                <w:i/>
                <w:iCs/>
                <w:color w:val="000000" w:themeColor="text1"/>
                <w:sz w:val="22"/>
                <w:szCs w:val="22"/>
              </w:rPr>
            </w:pPr>
            <w:r w:rsidRPr="00A575E8">
              <w:rPr>
                <w:rFonts w:ascii="Arial" w:hAnsi="Arial" w:cs="Arial"/>
                <w:b/>
                <w:color w:val="000000" w:themeColor="text1"/>
                <w:szCs w:val="20"/>
              </w:rPr>
              <w:t>CEC Initial Preparation Standard 1</w:t>
            </w:r>
          </w:p>
          <w:p w:rsidR="00A575E8" w:rsidRPr="00A575E8" w:rsidRDefault="00A575E8" w:rsidP="00A575E8">
            <w:pPr>
              <w:jc w:val="center"/>
              <w:rPr>
                <w:rFonts w:ascii="Arial" w:hAnsi="Arial" w:cs="Arial"/>
                <w:b/>
                <w:bCs/>
                <w:i/>
                <w:iCs/>
                <w:color w:val="000000" w:themeColor="text1"/>
                <w:sz w:val="20"/>
                <w:szCs w:val="20"/>
              </w:rPr>
            </w:pPr>
            <w:r w:rsidRPr="00A575E8">
              <w:rPr>
                <w:rFonts w:ascii="Arial" w:hAnsi="Arial" w:cs="Arial"/>
                <w:b/>
                <w:bCs/>
                <w:color w:val="000000" w:themeColor="text1"/>
                <w:szCs w:val="20"/>
              </w:rPr>
              <w:t>Learner Development and Individual Learning Differences</w:t>
            </w:r>
          </w:p>
        </w:tc>
      </w:tr>
      <w:tr w:rsidR="006A30D4" w:rsidRPr="00A55F3F" w:rsidTr="00074345">
        <w:trPr>
          <w:tblCellSpacing w:w="21" w:type="dxa"/>
          <w:jc w:val="center"/>
        </w:trPr>
        <w:tc>
          <w:tcPr>
            <w:tcW w:w="7232" w:type="dxa"/>
          </w:tcPr>
          <w:p w:rsidR="006A30D4" w:rsidRPr="00A55F3F" w:rsidRDefault="006A30D4" w:rsidP="00A55F3F">
            <w:pPr>
              <w:tabs>
                <w:tab w:val="left" w:pos="4320"/>
              </w:tabs>
              <w:spacing w:before="120" w:after="120"/>
              <w:rPr>
                <w:rFonts w:ascii="Arial" w:hAnsi="Arial" w:cs="Arial"/>
                <w:b/>
                <w:i/>
                <w:iCs/>
                <w:color w:val="000000" w:themeColor="text1"/>
                <w:sz w:val="22"/>
              </w:rPr>
            </w:pPr>
            <w:r w:rsidRPr="00A55F3F">
              <w:rPr>
                <w:rFonts w:ascii="Arial" w:hAnsi="Arial" w:cs="Arial"/>
                <w:b/>
                <w:i/>
                <w:iCs/>
                <w:color w:val="000000" w:themeColor="text1"/>
                <w:sz w:val="22"/>
              </w:rPr>
              <w:t>Beginning special education professionals understand how exceptionalities may interact with development and learning and use this knowledge to provide meaningful and challenging learning experiences for individuals.</w:t>
            </w:r>
          </w:p>
        </w:tc>
        <w:tc>
          <w:tcPr>
            <w:tcW w:w="2192" w:type="dxa"/>
            <w:vAlign w:val="center"/>
          </w:tcPr>
          <w:p w:rsidR="006A30D4"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1  </w:t>
            </w:r>
            <w:r w:rsidR="006A30D4" w:rsidRPr="00FC3219">
              <w:rPr>
                <w:rFonts w:ascii="Arial" w:hAnsi="Arial" w:cs="Arial"/>
                <w:bCs/>
                <w:color w:val="000000" w:themeColor="text1"/>
                <w:sz w:val="22"/>
              </w:rPr>
              <w:t xml:space="preserve">     □   2</w:t>
            </w:r>
          </w:p>
          <w:p w:rsidR="006A30D4"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3    </w:t>
            </w:r>
            <w:r w:rsidR="006A30D4" w:rsidRPr="00FC3219">
              <w:rPr>
                <w:rFonts w:ascii="Arial" w:hAnsi="Arial" w:cs="Arial"/>
                <w:bCs/>
                <w:color w:val="000000" w:themeColor="text1"/>
                <w:sz w:val="22"/>
              </w:rPr>
              <w:t xml:space="preserve">   □   4</w:t>
            </w:r>
          </w:p>
          <w:p w:rsidR="006A30D4"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5       </w:t>
            </w:r>
            <w:r w:rsidR="006A30D4" w:rsidRPr="00FC3219">
              <w:rPr>
                <w:rFonts w:ascii="Arial" w:hAnsi="Arial" w:cs="Arial"/>
                <w:bCs/>
                <w:color w:val="000000" w:themeColor="text1"/>
                <w:sz w:val="22"/>
              </w:rPr>
              <w:t>□   6</w:t>
            </w:r>
          </w:p>
          <w:p w:rsidR="006A30D4" w:rsidRPr="00A55F3F" w:rsidRDefault="00A575E8" w:rsidP="00074345">
            <w:pPr>
              <w:tabs>
                <w:tab w:val="left" w:pos="4320"/>
              </w:tabs>
              <w:jc w:val="center"/>
              <w:rPr>
                <w:rFonts w:ascii="Arial" w:hAnsi="Arial" w:cs="Arial"/>
                <w:b/>
                <w:i/>
                <w:iCs/>
                <w:color w:val="000000" w:themeColor="text1"/>
                <w:sz w:val="22"/>
              </w:rPr>
            </w:pPr>
            <w:r>
              <w:rPr>
                <w:rFonts w:ascii="Arial" w:hAnsi="Arial" w:cs="Arial"/>
                <w:bCs/>
                <w:color w:val="000000" w:themeColor="text1"/>
                <w:sz w:val="22"/>
              </w:rPr>
              <w:t xml:space="preserve">□   7      </w:t>
            </w:r>
            <w:r w:rsidR="006A30D4" w:rsidRPr="00FC3219">
              <w:rPr>
                <w:rFonts w:ascii="Arial" w:hAnsi="Arial" w:cs="Arial"/>
                <w:bCs/>
                <w:color w:val="000000" w:themeColor="text1"/>
                <w:sz w:val="22"/>
              </w:rPr>
              <w:t xml:space="preserve"> □   8</w:t>
            </w:r>
          </w:p>
        </w:tc>
      </w:tr>
      <w:tr w:rsidR="00FC3219" w:rsidRPr="00A55F3F" w:rsidTr="00074345">
        <w:trPr>
          <w:tblCellSpacing w:w="21" w:type="dxa"/>
          <w:jc w:val="center"/>
        </w:trPr>
        <w:tc>
          <w:tcPr>
            <w:tcW w:w="9466" w:type="dxa"/>
            <w:gridSpan w:val="2"/>
            <w:shd w:val="clear" w:color="auto" w:fill="BFBFBF" w:themeFill="background1" w:themeFillShade="BF"/>
            <w:vAlign w:val="center"/>
          </w:tcPr>
          <w:p w:rsidR="00FC3219" w:rsidRPr="00A55F3F" w:rsidRDefault="00FC3219" w:rsidP="00A55F3F">
            <w:pPr>
              <w:jc w:val="center"/>
              <w:rPr>
                <w:rFonts w:ascii="Arial" w:hAnsi="Arial" w:cs="Arial"/>
                <w:b/>
                <w:color w:val="000000" w:themeColor="text1"/>
                <w:sz w:val="32"/>
              </w:rPr>
            </w:pPr>
            <w:r w:rsidRPr="00A575E8">
              <w:rPr>
                <w:rFonts w:ascii="Arial" w:hAnsi="Arial" w:cs="Arial"/>
                <w:b/>
                <w:color w:val="000000" w:themeColor="text1"/>
                <w:szCs w:val="20"/>
              </w:rPr>
              <w:t>Major Elements</w:t>
            </w:r>
          </w:p>
        </w:tc>
      </w:tr>
      <w:tr w:rsidR="00FC3219" w:rsidRPr="00A55F3F" w:rsidTr="00074345">
        <w:trPr>
          <w:tblCellSpacing w:w="21" w:type="dxa"/>
          <w:jc w:val="center"/>
        </w:trPr>
        <w:tc>
          <w:tcPr>
            <w:tcW w:w="9466" w:type="dxa"/>
            <w:gridSpan w:val="2"/>
            <w:vAlign w:val="center"/>
          </w:tcPr>
          <w:p w:rsidR="00FC3219" w:rsidRPr="00350FFF" w:rsidRDefault="00FC3219" w:rsidP="00350FFF">
            <w:pPr>
              <w:pStyle w:val="ListParagraph"/>
              <w:numPr>
                <w:ilvl w:val="0"/>
                <w:numId w:val="8"/>
              </w:numPr>
              <w:ind w:left="625" w:hanging="540"/>
              <w:rPr>
                <w:rFonts w:ascii="Arial" w:hAnsi="Arial" w:cs="Arial"/>
                <w:color w:val="000000" w:themeColor="text1"/>
                <w:sz w:val="22"/>
              </w:rPr>
            </w:pPr>
            <w:r w:rsidRPr="00350FFF">
              <w:rPr>
                <w:rFonts w:ascii="Arial" w:hAnsi="Arial" w:cs="Arial"/>
                <w:color w:val="000000" w:themeColor="text1"/>
                <w:sz w:val="22"/>
              </w:rPr>
              <w:t>Beginning special education professionals understand how language, culture, and family background affect the learning of individuals with exceptionalities.</w:t>
            </w:r>
          </w:p>
        </w:tc>
      </w:tr>
      <w:tr w:rsidR="00FC3219" w:rsidRPr="00A55F3F" w:rsidTr="00074345">
        <w:trPr>
          <w:tblCellSpacing w:w="21" w:type="dxa"/>
          <w:jc w:val="center"/>
        </w:trPr>
        <w:tc>
          <w:tcPr>
            <w:tcW w:w="9466" w:type="dxa"/>
            <w:gridSpan w:val="2"/>
            <w:vAlign w:val="center"/>
          </w:tcPr>
          <w:p w:rsidR="00FC3219" w:rsidRPr="00350FFF" w:rsidRDefault="00FC3219" w:rsidP="00350FFF">
            <w:pPr>
              <w:pStyle w:val="ListParagraph"/>
              <w:numPr>
                <w:ilvl w:val="0"/>
                <w:numId w:val="8"/>
              </w:numPr>
              <w:ind w:left="625" w:hanging="540"/>
              <w:rPr>
                <w:rFonts w:ascii="Arial" w:hAnsi="Arial" w:cs="Arial"/>
                <w:color w:val="000000" w:themeColor="text1"/>
                <w:sz w:val="22"/>
              </w:rPr>
            </w:pPr>
            <w:r w:rsidRPr="00350FFF">
              <w:rPr>
                <w:rFonts w:ascii="Arial" w:hAnsi="Arial" w:cs="Arial"/>
                <w:color w:val="000000" w:themeColor="text1"/>
                <w:sz w:val="22"/>
              </w:rPr>
              <w:t>Beginning special education professionals use their understanding of learner development and individual differences to respond to the needs of individuals with exceptionalities.</w:t>
            </w:r>
          </w:p>
        </w:tc>
      </w:tr>
    </w:tbl>
    <w:p w:rsidR="00A55F3F" w:rsidRDefault="00A55F3F"/>
    <w:tbl>
      <w:tblPr>
        <w:tblStyle w:val="TableGrid"/>
        <w:tblW w:w="9360" w:type="dxa"/>
        <w:jc w:val="center"/>
        <w:tblCellSpacing w:w="21" w:type="dxa"/>
        <w:tblCellMar>
          <w:top w:w="43" w:type="dxa"/>
          <w:left w:w="43" w:type="dxa"/>
          <w:bottom w:w="43" w:type="dxa"/>
          <w:right w:w="43" w:type="dxa"/>
        </w:tblCellMar>
        <w:tblLook w:val="04A0"/>
      </w:tblPr>
      <w:tblGrid>
        <w:gridCol w:w="7155"/>
        <w:gridCol w:w="2205"/>
      </w:tblGrid>
      <w:tr w:rsidR="00A575E8" w:rsidRPr="00A575E8" w:rsidTr="00074345">
        <w:trPr>
          <w:tblCellSpacing w:w="21" w:type="dxa"/>
          <w:jc w:val="center"/>
        </w:trPr>
        <w:tc>
          <w:tcPr>
            <w:tcW w:w="9466" w:type="dxa"/>
            <w:gridSpan w:val="2"/>
            <w:shd w:val="clear" w:color="auto" w:fill="BFBFBF" w:themeFill="background1" w:themeFillShade="BF"/>
          </w:tcPr>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 xml:space="preserve">CEC Initial Preparation Standard 2 </w:t>
            </w:r>
          </w:p>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Learning Environments</w:t>
            </w:r>
          </w:p>
        </w:tc>
      </w:tr>
      <w:tr w:rsidR="00FC3219" w:rsidRPr="00A55F3F" w:rsidTr="00074345">
        <w:trPr>
          <w:tblCellSpacing w:w="21" w:type="dxa"/>
          <w:jc w:val="center"/>
        </w:trPr>
        <w:tc>
          <w:tcPr>
            <w:tcW w:w="7232" w:type="dxa"/>
          </w:tcPr>
          <w:p w:rsidR="00FC3219" w:rsidRPr="00FC0E8C" w:rsidRDefault="00FC3219" w:rsidP="00FC0E8C">
            <w:pPr>
              <w:tabs>
                <w:tab w:val="left" w:pos="4320"/>
              </w:tabs>
              <w:spacing w:before="120" w:after="120"/>
              <w:rPr>
                <w:rFonts w:ascii="Arial" w:hAnsi="Arial" w:cs="Arial"/>
                <w:b/>
                <w:i/>
                <w:iCs/>
                <w:color w:val="000000" w:themeColor="text1"/>
                <w:sz w:val="22"/>
              </w:rPr>
            </w:pPr>
            <w:r w:rsidRPr="00FC0E8C">
              <w:rPr>
                <w:rFonts w:ascii="Arial" w:hAnsi="Arial" w:cs="Arial"/>
                <w:b/>
                <w:i/>
                <w:iCs/>
                <w:color w:val="000000" w:themeColor="text1"/>
                <w:sz w:val="22"/>
              </w:rPr>
              <w:t>Beginning special education professionals create safe, culturally responsive learning environments so that individuals with exceptionalities become active and effective learners and develop emotional well-being, positive social interactions, and self-determination.</w:t>
            </w:r>
          </w:p>
        </w:tc>
        <w:tc>
          <w:tcPr>
            <w:tcW w:w="2192" w:type="dxa"/>
            <w:vAlign w:val="center"/>
          </w:tcPr>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1  </w:t>
            </w:r>
            <w:r w:rsidRPr="00FC3219">
              <w:rPr>
                <w:rFonts w:ascii="Arial" w:hAnsi="Arial" w:cs="Arial"/>
                <w:bCs/>
                <w:color w:val="000000" w:themeColor="text1"/>
                <w:sz w:val="22"/>
              </w:rPr>
              <w:t xml:space="preserve">     □   2</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3    </w:t>
            </w:r>
            <w:r w:rsidRPr="00FC3219">
              <w:rPr>
                <w:rFonts w:ascii="Arial" w:hAnsi="Arial" w:cs="Arial"/>
                <w:bCs/>
                <w:color w:val="000000" w:themeColor="text1"/>
                <w:sz w:val="22"/>
              </w:rPr>
              <w:t xml:space="preserve">   □   4</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5       </w:t>
            </w:r>
            <w:r w:rsidRPr="00FC3219">
              <w:rPr>
                <w:rFonts w:ascii="Arial" w:hAnsi="Arial" w:cs="Arial"/>
                <w:bCs/>
                <w:color w:val="000000" w:themeColor="text1"/>
                <w:sz w:val="22"/>
              </w:rPr>
              <w:t>□   6</w:t>
            </w:r>
          </w:p>
          <w:p w:rsidR="00FC3219" w:rsidRPr="00A55F3F" w:rsidRDefault="00A575E8" w:rsidP="00074345">
            <w:pPr>
              <w:jc w:val="center"/>
              <w:rPr>
                <w:rFonts w:ascii="Arial" w:hAnsi="Arial" w:cs="Arial"/>
                <w:color w:val="000000" w:themeColor="text1"/>
                <w:sz w:val="22"/>
              </w:rPr>
            </w:pPr>
            <w:r>
              <w:rPr>
                <w:rFonts w:ascii="Arial" w:hAnsi="Arial" w:cs="Arial"/>
                <w:bCs/>
                <w:color w:val="000000" w:themeColor="text1"/>
                <w:sz w:val="22"/>
              </w:rPr>
              <w:t xml:space="preserve">□   7      </w:t>
            </w:r>
            <w:r w:rsidRPr="00FC3219">
              <w:rPr>
                <w:rFonts w:ascii="Arial" w:hAnsi="Arial" w:cs="Arial"/>
                <w:bCs/>
                <w:color w:val="000000" w:themeColor="text1"/>
                <w:sz w:val="22"/>
              </w:rPr>
              <w:t xml:space="preserve"> □   8</w:t>
            </w:r>
          </w:p>
        </w:tc>
      </w:tr>
      <w:tr w:rsidR="00FC3219" w:rsidRPr="00A575E8" w:rsidTr="00074345">
        <w:trPr>
          <w:tblCellSpacing w:w="21" w:type="dxa"/>
          <w:jc w:val="center"/>
        </w:trPr>
        <w:tc>
          <w:tcPr>
            <w:tcW w:w="9466" w:type="dxa"/>
            <w:gridSpan w:val="2"/>
            <w:shd w:val="clear" w:color="auto" w:fill="BFBFBF" w:themeFill="background1" w:themeFillShade="BF"/>
            <w:vAlign w:val="center"/>
          </w:tcPr>
          <w:p w:rsidR="00FC3219" w:rsidRPr="00A575E8" w:rsidRDefault="00FC3219" w:rsidP="00A55F3F">
            <w:pPr>
              <w:jc w:val="center"/>
              <w:rPr>
                <w:rFonts w:ascii="Arial" w:hAnsi="Arial" w:cs="Arial"/>
                <w:b/>
                <w:color w:val="000000" w:themeColor="text1"/>
                <w:szCs w:val="20"/>
              </w:rPr>
            </w:pPr>
            <w:r w:rsidRPr="00A575E8">
              <w:rPr>
                <w:rFonts w:ascii="Arial" w:hAnsi="Arial" w:cs="Arial"/>
                <w:b/>
                <w:color w:val="000000" w:themeColor="text1"/>
                <w:szCs w:val="20"/>
              </w:rPr>
              <w:t>Major Elements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2"/>
              </w:numPr>
              <w:ind w:left="450" w:hanging="450"/>
              <w:rPr>
                <w:rFonts w:ascii="Arial" w:hAnsi="Arial" w:cs="Arial"/>
                <w:color w:val="000000" w:themeColor="text1"/>
                <w:sz w:val="22"/>
              </w:rPr>
            </w:pPr>
            <w:r w:rsidRPr="00A55F3F">
              <w:rPr>
                <w:rFonts w:ascii="Arial" w:hAnsi="Arial" w:cs="Arial"/>
                <w:color w:val="000000" w:themeColor="text1"/>
                <w:sz w:val="22"/>
              </w:rPr>
              <w:t xml:space="preserve">Beginning special education professionals use </w:t>
            </w:r>
            <w:r w:rsidRPr="00A55F3F">
              <w:rPr>
                <w:rFonts w:ascii="Arial" w:hAnsi="Arial" w:cs="Arial"/>
                <w:bCs/>
                <w:color w:val="000000" w:themeColor="text1"/>
                <w:sz w:val="22"/>
              </w:rPr>
              <w:t xml:space="preserve">motivational and instructional interventions to support </w:t>
            </w:r>
            <w:r w:rsidRPr="00A55F3F">
              <w:rPr>
                <w:rFonts w:ascii="Arial" w:hAnsi="Arial" w:cs="Arial"/>
                <w:color w:val="000000" w:themeColor="text1"/>
                <w:sz w:val="22"/>
              </w:rPr>
              <w:t>individuals with exceptionalities in responding to different environments.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2"/>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support general educators and other colleagues to include individuals with exceptionalities in different environments and engage them in meaningful learning activities and social interactions.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2"/>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know how to intervene safely and appropriately with individuals with exceptionalities in crisis.</w:t>
            </w:r>
          </w:p>
        </w:tc>
      </w:tr>
    </w:tbl>
    <w:p w:rsidR="00A55F3F" w:rsidRDefault="00A55F3F"/>
    <w:tbl>
      <w:tblPr>
        <w:tblStyle w:val="TableGrid"/>
        <w:tblW w:w="9360" w:type="dxa"/>
        <w:jc w:val="center"/>
        <w:tblCellSpacing w:w="21" w:type="dxa"/>
        <w:tblCellMar>
          <w:top w:w="43" w:type="dxa"/>
          <w:left w:w="43" w:type="dxa"/>
          <w:bottom w:w="43" w:type="dxa"/>
          <w:right w:w="43" w:type="dxa"/>
        </w:tblCellMar>
        <w:tblLook w:val="04A0"/>
      </w:tblPr>
      <w:tblGrid>
        <w:gridCol w:w="7155"/>
        <w:gridCol w:w="2205"/>
      </w:tblGrid>
      <w:tr w:rsidR="00A575E8" w:rsidRPr="00A575E8" w:rsidTr="00074345">
        <w:trPr>
          <w:tblCellSpacing w:w="21" w:type="dxa"/>
          <w:jc w:val="center"/>
        </w:trPr>
        <w:tc>
          <w:tcPr>
            <w:tcW w:w="9466" w:type="dxa"/>
            <w:gridSpan w:val="2"/>
            <w:shd w:val="clear" w:color="auto" w:fill="BFBFBF" w:themeFill="background1" w:themeFillShade="BF"/>
          </w:tcPr>
          <w:p w:rsidR="00A575E8" w:rsidRPr="00A575E8" w:rsidRDefault="00A575E8" w:rsidP="00A55F3F">
            <w:pPr>
              <w:jc w:val="center"/>
              <w:rPr>
                <w:rFonts w:ascii="Arial" w:hAnsi="Arial" w:cs="Arial"/>
                <w:b/>
                <w:color w:val="000000" w:themeColor="text1"/>
                <w:szCs w:val="20"/>
              </w:rPr>
            </w:pPr>
            <w:r w:rsidRPr="00A575E8">
              <w:rPr>
                <w:rFonts w:ascii="Arial" w:hAnsi="Arial" w:cs="Arial"/>
                <w:b/>
                <w:color w:val="000000" w:themeColor="text1"/>
                <w:szCs w:val="20"/>
              </w:rPr>
              <w:t xml:space="preserve">CEC Initial Preparation Standard 3 </w:t>
            </w:r>
          </w:p>
          <w:p w:rsidR="00A575E8" w:rsidRPr="00A575E8" w:rsidRDefault="00A575E8" w:rsidP="00A55F3F">
            <w:pPr>
              <w:jc w:val="center"/>
              <w:rPr>
                <w:rFonts w:ascii="Arial" w:hAnsi="Arial" w:cs="Arial"/>
                <w:b/>
                <w:color w:val="000000" w:themeColor="text1"/>
                <w:szCs w:val="20"/>
              </w:rPr>
            </w:pPr>
            <w:r w:rsidRPr="00A575E8">
              <w:rPr>
                <w:rFonts w:ascii="Arial" w:hAnsi="Arial" w:cs="Arial"/>
                <w:b/>
                <w:color w:val="000000" w:themeColor="text1"/>
                <w:szCs w:val="20"/>
              </w:rPr>
              <w:t>Curricular Content Knowledge</w:t>
            </w:r>
          </w:p>
        </w:tc>
      </w:tr>
      <w:tr w:rsidR="00FC3219" w:rsidRPr="00A55F3F" w:rsidTr="00074345">
        <w:trPr>
          <w:trHeight w:val="466"/>
          <w:tblCellSpacing w:w="21" w:type="dxa"/>
          <w:jc w:val="center"/>
        </w:trPr>
        <w:tc>
          <w:tcPr>
            <w:tcW w:w="7232" w:type="dxa"/>
          </w:tcPr>
          <w:p w:rsidR="00FC3219" w:rsidRPr="00A55F3F" w:rsidRDefault="00FC3219" w:rsidP="00A55F3F">
            <w:pPr>
              <w:tabs>
                <w:tab w:val="left" w:pos="4320"/>
              </w:tabs>
              <w:spacing w:before="120" w:after="120"/>
              <w:rPr>
                <w:rFonts w:ascii="Arial" w:hAnsi="Arial" w:cs="Arial"/>
                <w:b/>
                <w:i/>
                <w:color w:val="000000" w:themeColor="text1"/>
                <w:sz w:val="22"/>
              </w:rPr>
            </w:pPr>
            <w:r w:rsidRPr="00A55F3F">
              <w:rPr>
                <w:rFonts w:ascii="Arial" w:hAnsi="Arial" w:cs="Arial"/>
                <w:b/>
                <w:i/>
                <w:color w:val="000000" w:themeColor="text1"/>
                <w:sz w:val="22"/>
              </w:rPr>
              <w:t>Beginning special education professionals use their knowledge of the general</w:t>
            </w:r>
            <w:r w:rsidRPr="00A55F3F">
              <w:rPr>
                <w:rFonts w:ascii="Arial" w:hAnsi="Arial" w:cs="Arial"/>
                <w:b/>
                <w:i/>
                <w:color w:val="000000" w:themeColor="text1"/>
              </w:rPr>
              <w:t xml:space="preserve"> </w:t>
            </w:r>
            <w:r w:rsidRPr="00A55F3F">
              <w:rPr>
                <w:rFonts w:ascii="Arial" w:hAnsi="Arial" w:cs="Arial"/>
                <w:b/>
                <w:i/>
                <w:color w:val="000000" w:themeColor="text1"/>
                <w:sz w:val="22"/>
              </w:rPr>
              <w:t>and specialized curricula</w:t>
            </w:r>
            <w:r w:rsidRPr="00A55F3F">
              <w:rPr>
                <w:rFonts w:ascii="Arial" w:hAnsi="Arial" w:cs="Arial"/>
                <w:b/>
                <w:i/>
                <w:color w:val="000000" w:themeColor="text1"/>
                <w:sz w:val="22"/>
                <w:vertAlign w:val="superscript"/>
              </w:rPr>
              <w:footnoteReference w:id="1"/>
            </w:r>
            <w:r w:rsidRPr="00A55F3F">
              <w:rPr>
                <w:rFonts w:ascii="Arial" w:hAnsi="Arial" w:cs="Arial"/>
                <w:b/>
                <w:i/>
                <w:strike/>
                <w:color w:val="000000" w:themeColor="text1"/>
                <w:sz w:val="22"/>
              </w:rPr>
              <w:t xml:space="preserve"> </w:t>
            </w:r>
            <w:r w:rsidRPr="00A55F3F">
              <w:rPr>
                <w:rFonts w:ascii="Arial" w:hAnsi="Arial" w:cs="Arial"/>
                <w:b/>
                <w:i/>
                <w:color w:val="000000" w:themeColor="text1"/>
                <w:sz w:val="22"/>
              </w:rPr>
              <w:t>to personalize learning for individuals with exceptionalities.</w:t>
            </w:r>
          </w:p>
        </w:tc>
        <w:tc>
          <w:tcPr>
            <w:tcW w:w="2192" w:type="dxa"/>
            <w:vAlign w:val="center"/>
          </w:tcPr>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1  </w:t>
            </w:r>
            <w:r w:rsidRPr="00FC3219">
              <w:rPr>
                <w:rFonts w:ascii="Arial" w:hAnsi="Arial" w:cs="Arial"/>
                <w:bCs/>
                <w:color w:val="000000" w:themeColor="text1"/>
                <w:sz w:val="22"/>
              </w:rPr>
              <w:t xml:space="preserve">     □   2</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3    </w:t>
            </w:r>
            <w:r w:rsidRPr="00FC3219">
              <w:rPr>
                <w:rFonts w:ascii="Arial" w:hAnsi="Arial" w:cs="Arial"/>
                <w:bCs/>
                <w:color w:val="000000" w:themeColor="text1"/>
                <w:sz w:val="22"/>
              </w:rPr>
              <w:t xml:space="preserve">   □   4</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5       </w:t>
            </w:r>
            <w:r w:rsidRPr="00FC3219">
              <w:rPr>
                <w:rFonts w:ascii="Arial" w:hAnsi="Arial" w:cs="Arial"/>
                <w:bCs/>
                <w:color w:val="000000" w:themeColor="text1"/>
                <w:sz w:val="22"/>
              </w:rPr>
              <w:t>□   6</w:t>
            </w:r>
          </w:p>
          <w:p w:rsidR="00FC3219" w:rsidRPr="00A55F3F" w:rsidRDefault="00A575E8" w:rsidP="00074345">
            <w:pPr>
              <w:tabs>
                <w:tab w:val="left" w:pos="4320"/>
              </w:tabs>
              <w:jc w:val="center"/>
              <w:rPr>
                <w:rFonts w:ascii="Arial" w:hAnsi="Arial" w:cs="Arial"/>
                <w:b/>
                <w:i/>
                <w:color w:val="000000" w:themeColor="text1"/>
                <w:sz w:val="22"/>
              </w:rPr>
            </w:pPr>
            <w:r>
              <w:rPr>
                <w:rFonts w:ascii="Arial" w:hAnsi="Arial" w:cs="Arial"/>
                <w:bCs/>
                <w:color w:val="000000" w:themeColor="text1"/>
                <w:sz w:val="22"/>
              </w:rPr>
              <w:t xml:space="preserve">□   7      </w:t>
            </w:r>
            <w:r w:rsidRPr="00FC3219">
              <w:rPr>
                <w:rFonts w:ascii="Arial" w:hAnsi="Arial" w:cs="Arial"/>
                <w:bCs/>
                <w:color w:val="000000" w:themeColor="text1"/>
                <w:sz w:val="22"/>
              </w:rPr>
              <w:t xml:space="preserve"> □   8</w:t>
            </w:r>
          </w:p>
        </w:tc>
      </w:tr>
      <w:tr w:rsidR="00FC3219" w:rsidRPr="00A575E8" w:rsidTr="00074345">
        <w:trPr>
          <w:tblCellSpacing w:w="21" w:type="dxa"/>
          <w:jc w:val="center"/>
        </w:trPr>
        <w:tc>
          <w:tcPr>
            <w:tcW w:w="9466" w:type="dxa"/>
            <w:gridSpan w:val="2"/>
            <w:shd w:val="clear" w:color="auto" w:fill="BFBFBF" w:themeFill="background1" w:themeFillShade="BF"/>
            <w:vAlign w:val="center"/>
          </w:tcPr>
          <w:p w:rsidR="00FC3219" w:rsidRPr="00A575E8" w:rsidRDefault="00FC3219" w:rsidP="00A55F3F">
            <w:pPr>
              <w:jc w:val="center"/>
              <w:rPr>
                <w:rFonts w:ascii="Arial" w:hAnsi="Arial" w:cs="Arial"/>
                <w:b/>
                <w:color w:val="000000" w:themeColor="text1"/>
                <w:szCs w:val="20"/>
              </w:rPr>
            </w:pPr>
            <w:r w:rsidRPr="00A575E8">
              <w:rPr>
                <w:rFonts w:ascii="Arial" w:hAnsi="Arial" w:cs="Arial"/>
                <w:b/>
                <w:color w:val="000000" w:themeColor="text1"/>
                <w:szCs w:val="20"/>
              </w:rPr>
              <w:t>Major Elements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3"/>
              </w:numPr>
              <w:ind w:left="450" w:hanging="450"/>
              <w:rPr>
                <w:rFonts w:ascii="Arial" w:hAnsi="Arial"/>
                <w:color w:val="000000" w:themeColor="text1"/>
                <w:sz w:val="22"/>
                <w:szCs w:val="22"/>
              </w:rPr>
            </w:pPr>
            <w:r w:rsidRPr="00A55F3F">
              <w:rPr>
                <w:rFonts w:ascii="Arial" w:hAnsi="Arial"/>
                <w:color w:val="000000" w:themeColor="text1"/>
                <w:sz w:val="22"/>
                <w:szCs w:val="22"/>
              </w:rPr>
              <w:t>Beginning special education professionals understand and use content knowledge for teaching across curricular content areas to personalize learning for individuals with exceptionalities.</w:t>
            </w:r>
          </w:p>
        </w:tc>
      </w:tr>
      <w:tr w:rsidR="00FC3219" w:rsidRPr="00A55F3F" w:rsidTr="00074345">
        <w:trPr>
          <w:trHeight w:val="781"/>
          <w:tblCellSpacing w:w="21" w:type="dxa"/>
          <w:jc w:val="center"/>
        </w:trPr>
        <w:tc>
          <w:tcPr>
            <w:tcW w:w="9466" w:type="dxa"/>
            <w:gridSpan w:val="2"/>
            <w:vAlign w:val="center"/>
          </w:tcPr>
          <w:p w:rsidR="00FC3219" w:rsidRPr="00A55F3F" w:rsidRDefault="00FC3219" w:rsidP="00A55F3F">
            <w:pPr>
              <w:numPr>
                <w:ilvl w:val="0"/>
                <w:numId w:val="3"/>
              </w:numPr>
              <w:ind w:left="450" w:hanging="450"/>
              <w:rPr>
                <w:rFonts w:ascii="Arial" w:hAnsi="Arial" w:cs="Arial"/>
                <w:color w:val="000000" w:themeColor="text1"/>
                <w:sz w:val="22"/>
              </w:rPr>
            </w:pPr>
            <w:r w:rsidRPr="00A55F3F">
              <w:rPr>
                <w:rFonts w:ascii="Arial" w:hAnsi="Arial" w:cs="Arial"/>
                <w:color w:val="000000" w:themeColor="text1"/>
                <w:sz w:val="22"/>
              </w:rPr>
              <w:t>Beginning</w:t>
            </w:r>
            <w:r w:rsidRPr="00A55F3F">
              <w:rPr>
                <w:rFonts w:ascii="Arial" w:hAnsi="Arial"/>
                <w:color w:val="000000" w:themeColor="text1"/>
                <w:sz w:val="22"/>
                <w:szCs w:val="22"/>
              </w:rPr>
              <w:t xml:space="preserve"> special education professionals have deep knowledge of the content areas they teach, and can organize this knowledge, integrate cross-disciplinary skills, and develop meaningful learning progressions for individuals with exceptionalities.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3"/>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have the knowledge and skills to make general and specialized curricula acce</w:t>
            </w:r>
            <w:r w:rsidRPr="00A55F3F">
              <w:rPr>
                <w:rFonts w:ascii="Arial" w:hAnsi="Arial"/>
                <w:color w:val="000000" w:themeColor="text1"/>
                <w:sz w:val="22"/>
                <w:szCs w:val="22"/>
              </w:rPr>
              <w:t>ssible to individuals with exceptionalities.</w:t>
            </w:r>
          </w:p>
        </w:tc>
      </w:tr>
    </w:tbl>
    <w:p w:rsidR="00A575E8" w:rsidRDefault="00A575E8"/>
    <w:tbl>
      <w:tblPr>
        <w:tblStyle w:val="TableGrid"/>
        <w:tblW w:w="9360" w:type="dxa"/>
        <w:jc w:val="center"/>
        <w:tblCellSpacing w:w="21" w:type="dxa"/>
        <w:tblCellMar>
          <w:top w:w="43" w:type="dxa"/>
          <w:left w:w="43" w:type="dxa"/>
          <w:bottom w:w="43" w:type="dxa"/>
          <w:right w:w="43" w:type="dxa"/>
        </w:tblCellMar>
        <w:tblLook w:val="04A0"/>
      </w:tblPr>
      <w:tblGrid>
        <w:gridCol w:w="7154"/>
        <w:gridCol w:w="2206"/>
      </w:tblGrid>
      <w:tr w:rsidR="00A575E8" w:rsidRPr="00A575E8" w:rsidTr="00074345">
        <w:trPr>
          <w:tblCellSpacing w:w="21" w:type="dxa"/>
          <w:jc w:val="center"/>
        </w:trPr>
        <w:tc>
          <w:tcPr>
            <w:tcW w:w="9466" w:type="dxa"/>
            <w:gridSpan w:val="2"/>
            <w:shd w:val="clear" w:color="auto" w:fill="BFBFBF" w:themeFill="background1" w:themeFillShade="BF"/>
          </w:tcPr>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 xml:space="preserve">CEC Initial Preparation Standard 4 </w:t>
            </w:r>
          </w:p>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Assessment</w:t>
            </w:r>
          </w:p>
        </w:tc>
      </w:tr>
      <w:tr w:rsidR="00FC3219" w:rsidRPr="00A55F3F" w:rsidTr="00074345">
        <w:trPr>
          <w:trHeight w:val="826"/>
          <w:tblCellSpacing w:w="21" w:type="dxa"/>
          <w:jc w:val="center"/>
        </w:trPr>
        <w:tc>
          <w:tcPr>
            <w:tcW w:w="7232" w:type="dxa"/>
          </w:tcPr>
          <w:p w:rsidR="00FC3219" w:rsidRPr="00A55F3F" w:rsidRDefault="00FC3219" w:rsidP="00A55F3F">
            <w:pPr>
              <w:tabs>
                <w:tab w:val="left" w:pos="4320"/>
              </w:tabs>
              <w:spacing w:before="120" w:after="120"/>
              <w:rPr>
                <w:rFonts w:ascii="Arial" w:hAnsi="Arial" w:cs="Arial"/>
                <w:b/>
                <w:i/>
                <w:color w:val="000000" w:themeColor="text1"/>
                <w:sz w:val="22"/>
              </w:rPr>
            </w:pPr>
            <w:r w:rsidRPr="00A55F3F">
              <w:rPr>
                <w:rFonts w:ascii="Arial" w:hAnsi="Arial" w:cs="Arial"/>
                <w:b/>
                <w:i/>
                <w:color w:val="000000" w:themeColor="text1"/>
                <w:sz w:val="22"/>
              </w:rPr>
              <w:t xml:space="preserve">Beginning special education professionals use </w:t>
            </w:r>
            <w:r w:rsidRPr="00A55F3F">
              <w:rPr>
                <w:rFonts w:ascii="Arial" w:hAnsi="Arial" w:cs="Arial"/>
                <w:b/>
                <w:bCs/>
                <w:i/>
                <w:color w:val="000000" w:themeColor="text1"/>
                <w:sz w:val="22"/>
              </w:rPr>
              <w:t xml:space="preserve">multiple methods of assessment and data-sources </w:t>
            </w:r>
            <w:r w:rsidRPr="00A55F3F">
              <w:rPr>
                <w:rFonts w:ascii="Arial" w:hAnsi="Arial" w:cs="Arial"/>
                <w:b/>
                <w:i/>
                <w:color w:val="000000" w:themeColor="text1"/>
                <w:sz w:val="22"/>
              </w:rPr>
              <w:t>in making educational decisions.</w:t>
            </w:r>
          </w:p>
        </w:tc>
        <w:tc>
          <w:tcPr>
            <w:tcW w:w="2192" w:type="dxa"/>
            <w:vAlign w:val="center"/>
          </w:tcPr>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1  </w:t>
            </w:r>
            <w:r w:rsidRPr="00FC3219">
              <w:rPr>
                <w:rFonts w:ascii="Arial" w:hAnsi="Arial" w:cs="Arial"/>
                <w:bCs/>
                <w:color w:val="000000" w:themeColor="text1"/>
                <w:sz w:val="22"/>
              </w:rPr>
              <w:t xml:space="preserve">     □   2</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3    </w:t>
            </w:r>
            <w:r w:rsidRPr="00FC3219">
              <w:rPr>
                <w:rFonts w:ascii="Arial" w:hAnsi="Arial" w:cs="Arial"/>
                <w:bCs/>
                <w:color w:val="000000" w:themeColor="text1"/>
                <w:sz w:val="22"/>
              </w:rPr>
              <w:t xml:space="preserve">   □   4</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5       </w:t>
            </w:r>
            <w:r w:rsidRPr="00FC3219">
              <w:rPr>
                <w:rFonts w:ascii="Arial" w:hAnsi="Arial" w:cs="Arial"/>
                <w:bCs/>
                <w:color w:val="000000" w:themeColor="text1"/>
                <w:sz w:val="22"/>
              </w:rPr>
              <w:t>□   6</w:t>
            </w:r>
          </w:p>
          <w:p w:rsidR="00FC3219" w:rsidRPr="00A55F3F" w:rsidRDefault="00A575E8" w:rsidP="00074345">
            <w:pPr>
              <w:tabs>
                <w:tab w:val="left" w:pos="4320"/>
              </w:tabs>
              <w:jc w:val="center"/>
              <w:rPr>
                <w:rFonts w:ascii="Arial" w:hAnsi="Arial" w:cs="Arial"/>
                <w:b/>
                <w:i/>
                <w:color w:val="000000" w:themeColor="text1"/>
                <w:sz w:val="22"/>
              </w:rPr>
            </w:pPr>
            <w:r>
              <w:rPr>
                <w:rFonts w:ascii="Arial" w:hAnsi="Arial" w:cs="Arial"/>
                <w:bCs/>
                <w:color w:val="000000" w:themeColor="text1"/>
                <w:sz w:val="22"/>
              </w:rPr>
              <w:t xml:space="preserve">□   7      </w:t>
            </w:r>
            <w:r w:rsidRPr="00FC3219">
              <w:rPr>
                <w:rFonts w:ascii="Arial" w:hAnsi="Arial" w:cs="Arial"/>
                <w:bCs/>
                <w:color w:val="000000" w:themeColor="text1"/>
                <w:sz w:val="22"/>
              </w:rPr>
              <w:t xml:space="preserve"> □   8</w:t>
            </w:r>
          </w:p>
        </w:tc>
      </w:tr>
      <w:tr w:rsidR="00FC3219" w:rsidRPr="00A575E8" w:rsidTr="00074345">
        <w:trPr>
          <w:tblCellSpacing w:w="21" w:type="dxa"/>
          <w:jc w:val="center"/>
        </w:trPr>
        <w:tc>
          <w:tcPr>
            <w:tcW w:w="9466" w:type="dxa"/>
            <w:gridSpan w:val="2"/>
            <w:shd w:val="clear" w:color="auto" w:fill="BFBFBF" w:themeFill="background1" w:themeFillShade="BF"/>
            <w:vAlign w:val="center"/>
          </w:tcPr>
          <w:p w:rsidR="00FC3219" w:rsidRPr="00A575E8" w:rsidRDefault="00FC3219" w:rsidP="00A55F3F">
            <w:pPr>
              <w:jc w:val="center"/>
              <w:rPr>
                <w:rFonts w:ascii="Arial" w:hAnsi="Arial" w:cs="Arial"/>
                <w:b/>
                <w:color w:val="000000" w:themeColor="text1"/>
                <w:szCs w:val="20"/>
              </w:rPr>
            </w:pPr>
            <w:r w:rsidRPr="00A575E8">
              <w:rPr>
                <w:rFonts w:ascii="Arial" w:hAnsi="Arial" w:cs="Arial"/>
                <w:b/>
                <w:color w:val="000000" w:themeColor="text1"/>
                <w:szCs w:val="20"/>
              </w:rPr>
              <w:t>Major Elements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4"/>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use their knowledge of measurement principles and practices to interpret assessment results and guide educational decisions for individuals with exceptional learning needs.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4"/>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use multiple types of assessment information in making decisions regarding early intervention, referral, eligibility, program planning, instruction, and placement of individuals with exceptional learning needs in collaboration with colleagues and families.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4"/>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conduct formal and informal assessments that minimize sources of bias.</w:t>
            </w:r>
          </w:p>
        </w:tc>
      </w:tr>
      <w:tr w:rsidR="00FC3219" w:rsidRPr="00A55F3F" w:rsidTr="00074345">
        <w:trPr>
          <w:tblCellSpacing w:w="21" w:type="dxa"/>
          <w:jc w:val="center"/>
        </w:trPr>
        <w:tc>
          <w:tcPr>
            <w:tcW w:w="9466" w:type="dxa"/>
            <w:gridSpan w:val="2"/>
            <w:vAlign w:val="center"/>
          </w:tcPr>
          <w:p w:rsidR="00FC3219" w:rsidRPr="00A55F3F" w:rsidRDefault="00FC3219" w:rsidP="00A55F3F">
            <w:pPr>
              <w:numPr>
                <w:ilvl w:val="0"/>
                <w:numId w:val="4"/>
              </w:numPr>
              <w:ind w:left="450" w:hanging="450"/>
              <w:rPr>
                <w:rFonts w:ascii="Arial" w:hAnsi="Arial" w:cs="Arial"/>
                <w:color w:val="000000" w:themeColor="text1"/>
                <w:sz w:val="22"/>
              </w:rPr>
            </w:pPr>
            <w:r w:rsidRPr="00A55F3F">
              <w:rPr>
                <w:rFonts w:ascii="Arial" w:hAnsi="Arial" w:cs="Arial"/>
                <w:color w:val="000000" w:themeColor="text1"/>
                <w:sz w:val="22"/>
              </w:rPr>
              <w:t xml:space="preserve">Beginning special education professionals engage individuals with exceptionalities in recognizing quality performance and provide feedback to guide them toward that performance </w:t>
            </w:r>
          </w:p>
        </w:tc>
      </w:tr>
    </w:tbl>
    <w:p w:rsidR="00A55F3F" w:rsidRPr="00350FFF" w:rsidRDefault="00A55F3F" w:rsidP="00350FFF"/>
    <w:tbl>
      <w:tblPr>
        <w:tblStyle w:val="TableGrid"/>
        <w:tblW w:w="9360" w:type="dxa"/>
        <w:jc w:val="center"/>
        <w:tblCellSpacing w:w="21" w:type="dxa"/>
        <w:tblCellMar>
          <w:top w:w="43" w:type="dxa"/>
          <w:left w:w="43" w:type="dxa"/>
          <w:bottom w:w="43" w:type="dxa"/>
          <w:right w:w="43" w:type="dxa"/>
        </w:tblCellMar>
        <w:tblLook w:val="04A0"/>
      </w:tblPr>
      <w:tblGrid>
        <w:gridCol w:w="7155"/>
        <w:gridCol w:w="2205"/>
      </w:tblGrid>
      <w:tr w:rsidR="00A575E8" w:rsidRPr="00A575E8" w:rsidTr="00350FFF">
        <w:trPr>
          <w:tblCellSpacing w:w="21" w:type="dxa"/>
          <w:jc w:val="center"/>
        </w:trPr>
        <w:tc>
          <w:tcPr>
            <w:tcW w:w="9276" w:type="dxa"/>
            <w:gridSpan w:val="2"/>
            <w:shd w:val="clear" w:color="auto" w:fill="BFBFBF" w:themeFill="background1" w:themeFillShade="BF"/>
          </w:tcPr>
          <w:p w:rsidR="00A575E8" w:rsidRPr="00A575E8" w:rsidRDefault="00A575E8" w:rsidP="00A55F3F">
            <w:pPr>
              <w:jc w:val="center"/>
              <w:rPr>
                <w:rFonts w:ascii="Arial" w:hAnsi="Arial" w:cs="Arial"/>
                <w:b/>
                <w:color w:val="000000" w:themeColor="text1"/>
                <w:szCs w:val="20"/>
              </w:rPr>
            </w:pPr>
            <w:r w:rsidRPr="00A575E8">
              <w:rPr>
                <w:rFonts w:ascii="Arial" w:hAnsi="Arial" w:cs="Arial"/>
                <w:b/>
                <w:color w:val="000000" w:themeColor="text1"/>
                <w:szCs w:val="20"/>
              </w:rPr>
              <w:t xml:space="preserve">CEC Initial Preparation Standard 5 </w:t>
            </w:r>
          </w:p>
          <w:p w:rsidR="00A575E8" w:rsidRPr="00A575E8" w:rsidRDefault="00A575E8" w:rsidP="00A55F3F">
            <w:pPr>
              <w:jc w:val="center"/>
              <w:rPr>
                <w:rFonts w:ascii="Arial" w:hAnsi="Arial" w:cs="Arial"/>
                <w:b/>
                <w:color w:val="000000" w:themeColor="text1"/>
                <w:szCs w:val="20"/>
              </w:rPr>
            </w:pPr>
            <w:r w:rsidRPr="00A575E8">
              <w:rPr>
                <w:rFonts w:ascii="Arial" w:hAnsi="Arial" w:cs="Arial"/>
                <w:b/>
                <w:color w:val="000000" w:themeColor="text1"/>
                <w:szCs w:val="20"/>
              </w:rPr>
              <w:t>Instructional Planning and Strategies</w:t>
            </w:r>
          </w:p>
        </w:tc>
      </w:tr>
      <w:tr w:rsidR="00FC3219" w:rsidRPr="00A55F3F" w:rsidTr="00350FFF">
        <w:trPr>
          <w:tblCellSpacing w:w="21" w:type="dxa"/>
          <w:jc w:val="center"/>
        </w:trPr>
        <w:tc>
          <w:tcPr>
            <w:tcW w:w="7092" w:type="dxa"/>
          </w:tcPr>
          <w:p w:rsidR="00FC3219" w:rsidRPr="00A55F3F" w:rsidRDefault="00FC3219" w:rsidP="00A55F3F">
            <w:pPr>
              <w:tabs>
                <w:tab w:val="left" w:pos="4320"/>
              </w:tabs>
              <w:spacing w:before="120" w:after="120"/>
              <w:rPr>
                <w:rFonts w:ascii="Arial" w:hAnsi="Arial" w:cs="Arial"/>
                <w:b/>
                <w:i/>
                <w:color w:val="000000" w:themeColor="text1"/>
                <w:sz w:val="22"/>
              </w:rPr>
            </w:pPr>
            <w:r w:rsidRPr="00A55F3F">
              <w:rPr>
                <w:rFonts w:ascii="Arial" w:hAnsi="Arial" w:cs="Arial"/>
                <w:b/>
                <w:i/>
                <w:color w:val="000000" w:themeColor="text1"/>
                <w:sz w:val="22"/>
              </w:rPr>
              <w:t xml:space="preserve">Beginning special education professionals select, adapt, and use a repertoire of instructional </w:t>
            </w:r>
            <w:r w:rsidRPr="00A55F3F">
              <w:rPr>
                <w:rFonts w:ascii="Arial" w:hAnsi="Arial" w:cs="Arial"/>
                <w:b/>
                <w:bCs/>
                <w:i/>
                <w:color w:val="000000" w:themeColor="text1"/>
                <w:sz w:val="22"/>
              </w:rPr>
              <w:t xml:space="preserve">strategies to </w:t>
            </w:r>
            <w:r w:rsidRPr="00A55F3F">
              <w:rPr>
                <w:rFonts w:ascii="Arial" w:hAnsi="Arial" w:cs="Arial"/>
                <w:b/>
                <w:i/>
                <w:color w:val="000000" w:themeColor="text1"/>
                <w:sz w:val="22"/>
              </w:rPr>
              <w:t xml:space="preserve">advance </w:t>
            </w:r>
            <w:r w:rsidRPr="00A55F3F">
              <w:rPr>
                <w:rFonts w:ascii="Arial" w:hAnsi="Arial" w:cs="Arial"/>
                <w:b/>
                <w:bCs/>
                <w:i/>
                <w:color w:val="000000" w:themeColor="text1"/>
                <w:sz w:val="22"/>
              </w:rPr>
              <w:t xml:space="preserve">learning </w:t>
            </w:r>
            <w:r w:rsidRPr="00A55F3F">
              <w:rPr>
                <w:rFonts w:ascii="Arial" w:hAnsi="Arial" w:cs="Arial"/>
                <w:b/>
                <w:i/>
                <w:color w:val="000000" w:themeColor="text1"/>
                <w:sz w:val="22"/>
              </w:rPr>
              <w:t>of individuals with exceptionalities</w:t>
            </w:r>
            <w:r w:rsidRPr="00A55F3F">
              <w:rPr>
                <w:rFonts w:ascii="Arial" w:hAnsi="Arial" w:cs="Arial"/>
                <w:b/>
                <w:bCs/>
                <w:i/>
                <w:color w:val="000000" w:themeColor="text1"/>
                <w:sz w:val="22"/>
              </w:rPr>
              <w:t xml:space="preserve"> in general and specialized curricula</w:t>
            </w:r>
            <w:r w:rsidRPr="00A55F3F">
              <w:rPr>
                <w:rFonts w:ascii="Arial" w:hAnsi="Arial" w:cs="Arial"/>
                <w:b/>
                <w:i/>
                <w:color w:val="000000" w:themeColor="text1"/>
                <w:sz w:val="22"/>
              </w:rPr>
              <w:t>.</w:t>
            </w:r>
          </w:p>
        </w:tc>
        <w:tc>
          <w:tcPr>
            <w:tcW w:w="2142" w:type="dxa"/>
            <w:vAlign w:val="center"/>
          </w:tcPr>
          <w:p w:rsidR="00074345" w:rsidRPr="00FC3219" w:rsidRDefault="00074345"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1  </w:t>
            </w:r>
            <w:r w:rsidRPr="00FC3219">
              <w:rPr>
                <w:rFonts w:ascii="Arial" w:hAnsi="Arial" w:cs="Arial"/>
                <w:bCs/>
                <w:color w:val="000000" w:themeColor="text1"/>
                <w:sz w:val="22"/>
              </w:rPr>
              <w:t xml:space="preserve">     □   2</w:t>
            </w:r>
          </w:p>
          <w:p w:rsidR="00074345" w:rsidRPr="00FC3219" w:rsidRDefault="00074345"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3    </w:t>
            </w:r>
            <w:r w:rsidRPr="00FC3219">
              <w:rPr>
                <w:rFonts w:ascii="Arial" w:hAnsi="Arial" w:cs="Arial"/>
                <w:bCs/>
                <w:color w:val="000000" w:themeColor="text1"/>
                <w:sz w:val="22"/>
              </w:rPr>
              <w:t xml:space="preserve">   □   4</w:t>
            </w:r>
          </w:p>
          <w:p w:rsidR="00074345" w:rsidRPr="00FC3219" w:rsidRDefault="00074345"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5       </w:t>
            </w:r>
            <w:r w:rsidRPr="00FC3219">
              <w:rPr>
                <w:rFonts w:ascii="Arial" w:hAnsi="Arial" w:cs="Arial"/>
                <w:bCs/>
                <w:color w:val="000000" w:themeColor="text1"/>
                <w:sz w:val="22"/>
              </w:rPr>
              <w:t>□   6</w:t>
            </w:r>
          </w:p>
          <w:p w:rsidR="00FC3219" w:rsidRPr="00A55F3F" w:rsidRDefault="00074345" w:rsidP="00074345">
            <w:pPr>
              <w:tabs>
                <w:tab w:val="left" w:pos="4320"/>
              </w:tabs>
              <w:jc w:val="center"/>
              <w:rPr>
                <w:rFonts w:ascii="Arial" w:hAnsi="Arial" w:cs="Arial"/>
                <w:b/>
                <w:i/>
                <w:color w:val="000000" w:themeColor="text1"/>
                <w:sz w:val="22"/>
              </w:rPr>
            </w:pPr>
            <w:r>
              <w:rPr>
                <w:rFonts w:ascii="Arial" w:hAnsi="Arial" w:cs="Arial"/>
                <w:bCs/>
                <w:color w:val="000000" w:themeColor="text1"/>
                <w:sz w:val="22"/>
              </w:rPr>
              <w:t xml:space="preserve">□   7      </w:t>
            </w:r>
            <w:r w:rsidRPr="00FC3219">
              <w:rPr>
                <w:rFonts w:ascii="Arial" w:hAnsi="Arial" w:cs="Arial"/>
                <w:bCs/>
                <w:color w:val="000000" w:themeColor="text1"/>
                <w:sz w:val="22"/>
              </w:rPr>
              <w:t xml:space="preserve"> □   8</w:t>
            </w:r>
          </w:p>
        </w:tc>
      </w:tr>
      <w:tr w:rsidR="001C70C8" w:rsidRPr="00A575E8" w:rsidTr="00350FFF">
        <w:trPr>
          <w:tblCellSpacing w:w="21" w:type="dxa"/>
          <w:jc w:val="center"/>
        </w:trPr>
        <w:tc>
          <w:tcPr>
            <w:tcW w:w="9276" w:type="dxa"/>
            <w:gridSpan w:val="2"/>
            <w:shd w:val="clear" w:color="auto" w:fill="BFBFBF" w:themeFill="background1" w:themeFillShade="BF"/>
            <w:vAlign w:val="center"/>
          </w:tcPr>
          <w:p w:rsidR="001C70C8" w:rsidRPr="00A575E8" w:rsidRDefault="001C70C8" w:rsidP="001C70C8">
            <w:pPr>
              <w:jc w:val="center"/>
              <w:rPr>
                <w:rFonts w:ascii="Arial" w:hAnsi="Arial" w:cs="Arial"/>
                <w:b/>
                <w:color w:val="000000" w:themeColor="text1"/>
                <w:szCs w:val="20"/>
              </w:rPr>
            </w:pPr>
            <w:r w:rsidRPr="00A575E8">
              <w:rPr>
                <w:rFonts w:ascii="Arial" w:hAnsi="Arial" w:cs="Arial"/>
                <w:b/>
                <w:color w:val="000000" w:themeColor="text1"/>
                <w:szCs w:val="20"/>
              </w:rPr>
              <w:t>Major Elements</w:t>
            </w:r>
          </w:p>
        </w:tc>
      </w:tr>
      <w:tr w:rsidR="00FC3219" w:rsidRPr="00A55F3F" w:rsidTr="00350FFF">
        <w:trPr>
          <w:tblCellSpacing w:w="21" w:type="dxa"/>
          <w:jc w:val="center"/>
        </w:trPr>
        <w:tc>
          <w:tcPr>
            <w:tcW w:w="9276" w:type="dxa"/>
            <w:gridSpan w:val="2"/>
            <w:vAlign w:val="center"/>
          </w:tcPr>
          <w:p w:rsidR="00FC3219" w:rsidRPr="00A55F3F" w:rsidRDefault="00FC3219" w:rsidP="00A55F3F">
            <w:pPr>
              <w:numPr>
                <w:ilvl w:val="0"/>
                <w:numId w:val="5"/>
              </w:numPr>
              <w:ind w:left="450" w:hanging="450"/>
              <w:rPr>
                <w:rFonts w:ascii="Arial" w:hAnsi="Arial" w:cs="Arial"/>
                <w:color w:val="000000" w:themeColor="text1"/>
                <w:sz w:val="22"/>
              </w:rPr>
            </w:pPr>
            <w:r w:rsidRPr="00A55F3F">
              <w:rPr>
                <w:rFonts w:ascii="Arial" w:hAnsi="Arial" w:cs="Arial"/>
                <w:color w:val="000000" w:themeColor="text1"/>
                <w:sz w:val="22"/>
              </w:rPr>
              <w:t xml:space="preserve">Beginning special education professionals consider an individual’s abilities, interests, learning environments, and cultural and linguistic factors in guiding the selection, or creation, and adaptation of learning experiences for individual with exceptionalities.  </w:t>
            </w:r>
          </w:p>
        </w:tc>
      </w:tr>
      <w:tr w:rsidR="00FC3219" w:rsidRPr="00A55F3F" w:rsidTr="00350FFF">
        <w:trPr>
          <w:tblCellSpacing w:w="21" w:type="dxa"/>
          <w:jc w:val="center"/>
        </w:trPr>
        <w:tc>
          <w:tcPr>
            <w:tcW w:w="9276" w:type="dxa"/>
            <w:gridSpan w:val="2"/>
            <w:vAlign w:val="center"/>
          </w:tcPr>
          <w:p w:rsidR="00FC3219" w:rsidRPr="00A55F3F" w:rsidRDefault="00FC3219" w:rsidP="00A55F3F">
            <w:pPr>
              <w:numPr>
                <w:ilvl w:val="0"/>
                <w:numId w:val="5"/>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w:t>
            </w:r>
            <w:r w:rsidRPr="00A55F3F">
              <w:rPr>
                <w:rFonts w:ascii="Arial" w:eastAsiaTheme="minorEastAsia" w:hAnsi="Arial" w:cs="Arial"/>
                <w:color w:val="000000" w:themeColor="text1"/>
              </w:rPr>
              <w:t xml:space="preserve"> </w:t>
            </w:r>
            <w:r w:rsidRPr="00A55F3F">
              <w:rPr>
                <w:rFonts w:ascii="Arial" w:hAnsi="Arial" w:cs="Arial"/>
                <w:color w:val="000000" w:themeColor="text1"/>
                <w:sz w:val="22"/>
              </w:rPr>
              <w:t>teach mastery and generalization of curricula to individuals with exceptionalities.</w:t>
            </w:r>
          </w:p>
        </w:tc>
      </w:tr>
      <w:tr w:rsidR="00FC3219" w:rsidRPr="00A55F3F" w:rsidDel="00FD5402" w:rsidTr="00350FFF">
        <w:trPr>
          <w:tblCellSpacing w:w="21" w:type="dxa"/>
          <w:jc w:val="center"/>
        </w:trPr>
        <w:tc>
          <w:tcPr>
            <w:tcW w:w="9276" w:type="dxa"/>
            <w:gridSpan w:val="2"/>
            <w:vAlign w:val="center"/>
          </w:tcPr>
          <w:p w:rsidR="00FC3219" w:rsidRPr="00A55F3F" w:rsidRDefault="00FC3219" w:rsidP="00A55F3F">
            <w:pPr>
              <w:numPr>
                <w:ilvl w:val="0"/>
                <w:numId w:val="5"/>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w:t>
            </w:r>
            <w:r w:rsidRPr="00A55F3F">
              <w:rPr>
                <w:rFonts w:ascii="Arial" w:eastAsiaTheme="minorEastAsia" w:hAnsi="Arial" w:cs="Arial"/>
                <w:color w:val="000000" w:themeColor="text1"/>
              </w:rPr>
              <w:t xml:space="preserve"> </w:t>
            </w:r>
            <w:r w:rsidRPr="00A55F3F">
              <w:rPr>
                <w:rFonts w:ascii="Arial" w:hAnsi="Arial" w:cs="Arial"/>
                <w:color w:val="000000" w:themeColor="text1"/>
                <w:sz w:val="22"/>
              </w:rPr>
              <w:t>teach cross-disciplinary knowledge and skills including critical thinking, problem-solving, and performance skills to individuals with exceptionalities.</w:t>
            </w:r>
          </w:p>
        </w:tc>
      </w:tr>
      <w:tr w:rsidR="00FC3219" w:rsidRPr="00A55F3F" w:rsidDel="00FD5402" w:rsidTr="00350FFF">
        <w:trPr>
          <w:tblCellSpacing w:w="21" w:type="dxa"/>
          <w:jc w:val="center"/>
        </w:trPr>
        <w:tc>
          <w:tcPr>
            <w:tcW w:w="9276" w:type="dxa"/>
            <w:gridSpan w:val="2"/>
            <w:vAlign w:val="center"/>
          </w:tcPr>
          <w:p w:rsidR="00FC3219" w:rsidRPr="00A55F3F" w:rsidRDefault="00FC3219" w:rsidP="00A55F3F">
            <w:pPr>
              <w:numPr>
                <w:ilvl w:val="0"/>
                <w:numId w:val="5"/>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use strategies to enhance language development and teach communication skills to individuals with exceptionalities.</w:t>
            </w:r>
          </w:p>
        </w:tc>
      </w:tr>
      <w:tr w:rsidR="00FC3219" w:rsidRPr="00A55F3F" w:rsidTr="00350FFF">
        <w:trPr>
          <w:trHeight w:val="448"/>
          <w:tblCellSpacing w:w="21" w:type="dxa"/>
          <w:jc w:val="center"/>
        </w:trPr>
        <w:tc>
          <w:tcPr>
            <w:tcW w:w="9276" w:type="dxa"/>
            <w:gridSpan w:val="2"/>
            <w:vAlign w:val="center"/>
          </w:tcPr>
          <w:p w:rsidR="00FC3219" w:rsidRPr="00A55F3F" w:rsidRDefault="00FC3219" w:rsidP="00A55F3F">
            <w:pPr>
              <w:numPr>
                <w:ilvl w:val="0"/>
                <w:numId w:val="5"/>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know augmentative and alternative communication systems, and a variety of assistive technologies to support the communication and learning of individuals with exceptionalities.</w:t>
            </w:r>
          </w:p>
        </w:tc>
      </w:tr>
      <w:tr w:rsidR="00A575E8" w:rsidRPr="00A55F3F" w:rsidTr="00350FFF">
        <w:trPr>
          <w:tblCellSpacing w:w="21" w:type="dxa"/>
          <w:jc w:val="center"/>
        </w:trPr>
        <w:tc>
          <w:tcPr>
            <w:tcW w:w="9276" w:type="dxa"/>
            <w:gridSpan w:val="2"/>
          </w:tcPr>
          <w:p w:rsidR="00A575E8" w:rsidRPr="00A55F3F" w:rsidRDefault="00A575E8" w:rsidP="00A575E8">
            <w:pPr>
              <w:numPr>
                <w:ilvl w:val="0"/>
                <w:numId w:val="5"/>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use technologies to support assessment, instructio</w:t>
            </w:r>
            <w:r>
              <w:rPr>
                <w:rFonts w:ascii="Arial" w:hAnsi="Arial" w:cs="Arial"/>
                <w:color w:val="000000" w:themeColor="text1"/>
                <w:sz w:val="22"/>
              </w:rPr>
              <w:t xml:space="preserve">nal planning, and </w:t>
            </w:r>
            <w:r w:rsidRPr="00A55F3F">
              <w:rPr>
                <w:rFonts w:ascii="Arial" w:hAnsi="Arial" w:cs="Arial"/>
                <w:color w:val="000000" w:themeColor="text1"/>
                <w:sz w:val="22"/>
              </w:rPr>
              <w:t>delivery for individuals with exceptionalities.</w:t>
            </w:r>
          </w:p>
        </w:tc>
      </w:tr>
    </w:tbl>
    <w:p w:rsidR="00350FFF" w:rsidRDefault="00350FFF"/>
    <w:tbl>
      <w:tblPr>
        <w:tblStyle w:val="TableGrid"/>
        <w:tblW w:w="9360" w:type="dxa"/>
        <w:jc w:val="center"/>
        <w:tblCellSpacing w:w="21" w:type="dxa"/>
        <w:tblCellMar>
          <w:top w:w="43" w:type="dxa"/>
          <w:left w:w="43" w:type="dxa"/>
          <w:bottom w:w="43" w:type="dxa"/>
          <w:right w:w="43" w:type="dxa"/>
        </w:tblCellMar>
        <w:tblLook w:val="04A0"/>
      </w:tblPr>
      <w:tblGrid>
        <w:gridCol w:w="7155"/>
        <w:gridCol w:w="2205"/>
      </w:tblGrid>
      <w:tr w:rsidR="00A575E8" w:rsidRPr="00A575E8" w:rsidTr="00350FFF">
        <w:trPr>
          <w:tblCellSpacing w:w="21" w:type="dxa"/>
          <w:jc w:val="center"/>
        </w:trPr>
        <w:tc>
          <w:tcPr>
            <w:tcW w:w="9276" w:type="dxa"/>
            <w:gridSpan w:val="2"/>
            <w:shd w:val="clear" w:color="auto" w:fill="BFBFBF" w:themeFill="background1" w:themeFillShade="BF"/>
          </w:tcPr>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 xml:space="preserve">CEC Initial Preparation Standard 6 </w:t>
            </w:r>
          </w:p>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Professional Learning and Ethical Practice</w:t>
            </w:r>
          </w:p>
        </w:tc>
      </w:tr>
      <w:tr w:rsidR="00FC3219" w:rsidRPr="00A55F3F" w:rsidTr="00350FFF">
        <w:trPr>
          <w:tblCellSpacing w:w="21" w:type="dxa"/>
          <w:jc w:val="center"/>
        </w:trPr>
        <w:tc>
          <w:tcPr>
            <w:tcW w:w="7092" w:type="dxa"/>
          </w:tcPr>
          <w:p w:rsidR="00FC3219" w:rsidRPr="00A55F3F" w:rsidRDefault="00FC3219" w:rsidP="00A55F3F">
            <w:pPr>
              <w:tabs>
                <w:tab w:val="left" w:pos="4320"/>
              </w:tabs>
              <w:spacing w:before="120" w:after="120"/>
              <w:rPr>
                <w:rFonts w:ascii="Arial" w:hAnsi="Arial" w:cs="Arial"/>
                <w:b/>
                <w:i/>
                <w:color w:val="000000" w:themeColor="text1"/>
                <w:sz w:val="22"/>
              </w:rPr>
            </w:pPr>
            <w:r w:rsidRPr="00A55F3F">
              <w:rPr>
                <w:rFonts w:ascii="Arial" w:hAnsi="Arial" w:cs="Arial"/>
                <w:b/>
                <w:i/>
                <w:color w:val="000000" w:themeColor="text1"/>
                <w:sz w:val="22"/>
              </w:rPr>
              <w:t>Beginning special education professionals use foundational knowledge of the field</w:t>
            </w:r>
            <w:r w:rsidRPr="00A55F3F">
              <w:rPr>
                <w:rFonts w:ascii="Arial" w:hAnsi="Arial" w:cs="Arial"/>
                <w:b/>
                <w:bCs/>
                <w:i/>
                <w:color w:val="000000" w:themeColor="text1"/>
                <w:sz w:val="22"/>
              </w:rPr>
              <w:t xml:space="preserve"> and</w:t>
            </w:r>
            <w:r w:rsidRPr="00A55F3F">
              <w:rPr>
                <w:rFonts w:ascii="Arial" w:hAnsi="Arial" w:cs="Arial"/>
                <w:b/>
                <w:i/>
                <w:color w:val="000000" w:themeColor="text1"/>
                <w:sz w:val="22"/>
              </w:rPr>
              <w:t xml:space="preserve"> the profession’s ethical principles and practice standards to inform their special education practice, to engage in </w:t>
            </w:r>
            <w:r w:rsidRPr="00A55F3F">
              <w:rPr>
                <w:rFonts w:ascii="Arial" w:hAnsi="Arial" w:cs="Arial"/>
                <w:b/>
                <w:bCs/>
                <w:i/>
                <w:color w:val="000000" w:themeColor="text1"/>
                <w:sz w:val="22"/>
              </w:rPr>
              <w:t>lifelong learning,</w:t>
            </w:r>
            <w:r w:rsidRPr="00A55F3F">
              <w:rPr>
                <w:rFonts w:ascii="Arial" w:hAnsi="Arial" w:cs="Arial"/>
                <w:b/>
                <w:i/>
                <w:color w:val="000000" w:themeColor="text1"/>
                <w:sz w:val="22"/>
              </w:rPr>
              <w:t xml:space="preserve"> and to advance the profession.</w:t>
            </w:r>
          </w:p>
        </w:tc>
        <w:tc>
          <w:tcPr>
            <w:tcW w:w="2142" w:type="dxa"/>
            <w:vAlign w:val="center"/>
          </w:tcPr>
          <w:p w:rsidR="00074345" w:rsidRPr="00FC3219" w:rsidRDefault="00074345"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1  </w:t>
            </w:r>
            <w:r w:rsidRPr="00FC3219">
              <w:rPr>
                <w:rFonts w:ascii="Arial" w:hAnsi="Arial" w:cs="Arial"/>
                <w:bCs/>
                <w:color w:val="000000" w:themeColor="text1"/>
                <w:sz w:val="22"/>
              </w:rPr>
              <w:t xml:space="preserve">     □   2</w:t>
            </w:r>
          </w:p>
          <w:p w:rsidR="00074345" w:rsidRPr="00FC3219" w:rsidRDefault="00074345"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3    </w:t>
            </w:r>
            <w:r w:rsidRPr="00FC3219">
              <w:rPr>
                <w:rFonts w:ascii="Arial" w:hAnsi="Arial" w:cs="Arial"/>
                <w:bCs/>
                <w:color w:val="000000" w:themeColor="text1"/>
                <w:sz w:val="22"/>
              </w:rPr>
              <w:t xml:space="preserve">   □   4</w:t>
            </w:r>
          </w:p>
          <w:p w:rsidR="00074345" w:rsidRPr="00FC3219" w:rsidRDefault="00074345"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5       </w:t>
            </w:r>
            <w:r w:rsidRPr="00FC3219">
              <w:rPr>
                <w:rFonts w:ascii="Arial" w:hAnsi="Arial" w:cs="Arial"/>
                <w:bCs/>
                <w:color w:val="000000" w:themeColor="text1"/>
                <w:sz w:val="22"/>
              </w:rPr>
              <w:t>□   6</w:t>
            </w:r>
          </w:p>
          <w:p w:rsidR="00FC3219" w:rsidRPr="00A55F3F" w:rsidRDefault="00074345" w:rsidP="00074345">
            <w:pPr>
              <w:tabs>
                <w:tab w:val="left" w:pos="4320"/>
              </w:tabs>
              <w:jc w:val="center"/>
              <w:rPr>
                <w:rFonts w:ascii="Arial" w:hAnsi="Arial" w:cs="Arial"/>
                <w:b/>
                <w:i/>
                <w:color w:val="000000" w:themeColor="text1"/>
                <w:sz w:val="22"/>
              </w:rPr>
            </w:pPr>
            <w:r>
              <w:rPr>
                <w:rFonts w:ascii="Arial" w:hAnsi="Arial" w:cs="Arial"/>
                <w:bCs/>
                <w:color w:val="000000" w:themeColor="text1"/>
                <w:sz w:val="22"/>
              </w:rPr>
              <w:t xml:space="preserve">□   7      </w:t>
            </w:r>
            <w:r w:rsidRPr="00FC3219">
              <w:rPr>
                <w:rFonts w:ascii="Arial" w:hAnsi="Arial" w:cs="Arial"/>
                <w:bCs/>
                <w:color w:val="000000" w:themeColor="text1"/>
                <w:sz w:val="22"/>
              </w:rPr>
              <w:t xml:space="preserve"> □   8</w:t>
            </w:r>
          </w:p>
        </w:tc>
      </w:tr>
      <w:tr w:rsidR="00FC3219" w:rsidRPr="00A575E8" w:rsidTr="00350FFF">
        <w:trPr>
          <w:tblCellSpacing w:w="21" w:type="dxa"/>
          <w:jc w:val="center"/>
        </w:trPr>
        <w:tc>
          <w:tcPr>
            <w:tcW w:w="9276" w:type="dxa"/>
            <w:gridSpan w:val="2"/>
            <w:shd w:val="clear" w:color="auto" w:fill="BFBFBF" w:themeFill="background1" w:themeFillShade="BF"/>
            <w:vAlign w:val="center"/>
          </w:tcPr>
          <w:p w:rsidR="00FC3219" w:rsidRPr="00A575E8" w:rsidRDefault="00FC3219" w:rsidP="00A55F3F">
            <w:pPr>
              <w:jc w:val="center"/>
              <w:rPr>
                <w:rFonts w:ascii="Arial" w:hAnsi="Arial" w:cs="Arial"/>
                <w:b/>
                <w:color w:val="000000" w:themeColor="text1"/>
                <w:szCs w:val="20"/>
              </w:rPr>
            </w:pPr>
            <w:r w:rsidRPr="00A575E8">
              <w:rPr>
                <w:rFonts w:ascii="Arial" w:hAnsi="Arial" w:cs="Arial"/>
                <w:b/>
                <w:color w:val="000000" w:themeColor="text1"/>
                <w:szCs w:val="20"/>
              </w:rPr>
              <w:t>Major Elements</w:t>
            </w:r>
          </w:p>
        </w:tc>
      </w:tr>
      <w:tr w:rsidR="00FC3219" w:rsidRPr="00A55F3F" w:rsidTr="00350FFF">
        <w:trPr>
          <w:tblCellSpacing w:w="21" w:type="dxa"/>
          <w:jc w:val="center"/>
        </w:trPr>
        <w:tc>
          <w:tcPr>
            <w:tcW w:w="9276" w:type="dxa"/>
            <w:gridSpan w:val="2"/>
            <w:vAlign w:val="center"/>
          </w:tcPr>
          <w:p w:rsidR="00FC3219" w:rsidRPr="00A55F3F" w:rsidRDefault="00FC3219" w:rsidP="00A55F3F">
            <w:pPr>
              <w:numPr>
                <w:ilvl w:val="0"/>
                <w:numId w:val="6"/>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are guided by the profession’s ethical principles and professional practice standards.</w:t>
            </w:r>
          </w:p>
        </w:tc>
      </w:tr>
      <w:tr w:rsidR="00FC3219" w:rsidRPr="00A55F3F" w:rsidTr="00350FFF">
        <w:trPr>
          <w:tblCellSpacing w:w="21" w:type="dxa"/>
          <w:jc w:val="center"/>
        </w:trPr>
        <w:tc>
          <w:tcPr>
            <w:tcW w:w="9276" w:type="dxa"/>
            <w:gridSpan w:val="2"/>
            <w:vAlign w:val="center"/>
          </w:tcPr>
          <w:p w:rsidR="00FC3219" w:rsidRPr="00A55F3F" w:rsidRDefault="00FC3219" w:rsidP="00A55F3F">
            <w:pPr>
              <w:numPr>
                <w:ilvl w:val="0"/>
                <w:numId w:val="6"/>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know relevant philosophies, theories, laws, policies, history, ethics, trends, and issues in special education and related fields.</w:t>
            </w:r>
          </w:p>
        </w:tc>
      </w:tr>
      <w:tr w:rsidR="00FC3219" w:rsidRPr="00A55F3F" w:rsidTr="00350FFF">
        <w:trPr>
          <w:tblCellSpacing w:w="21" w:type="dxa"/>
          <w:jc w:val="center"/>
        </w:trPr>
        <w:tc>
          <w:tcPr>
            <w:tcW w:w="9276" w:type="dxa"/>
            <w:gridSpan w:val="2"/>
            <w:vAlign w:val="center"/>
          </w:tcPr>
          <w:p w:rsidR="00FC3219" w:rsidRPr="00A55F3F" w:rsidRDefault="00FC3219" w:rsidP="00A55F3F">
            <w:pPr>
              <w:numPr>
                <w:ilvl w:val="0"/>
                <w:numId w:val="6"/>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understand how foundational knowledge and current issues influence professional practice, including assessment, instructional planning, implementation, program evaluation, and the relationship of special education to the organization of schools and other agencies.</w:t>
            </w:r>
          </w:p>
        </w:tc>
      </w:tr>
      <w:tr w:rsidR="00A575E8" w:rsidRPr="00A55F3F" w:rsidTr="00350FFF">
        <w:trPr>
          <w:tblCellSpacing w:w="21" w:type="dxa"/>
          <w:jc w:val="center"/>
        </w:trPr>
        <w:tc>
          <w:tcPr>
            <w:tcW w:w="9276" w:type="dxa"/>
            <w:gridSpan w:val="2"/>
            <w:vAlign w:val="center"/>
          </w:tcPr>
          <w:p w:rsidR="00A575E8" w:rsidRPr="00A55F3F" w:rsidRDefault="00A575E8" w:rsidP="00A55F3F">
            <w:pPr>
              <w:numPr>
                <w:ilvl w:val="0"/>
                <w:numId w:val="6"/>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understand how human diversity can impact families, cultures, and schools, and how these complex human issues can interact with the delivery of special education services</w:t>
            </w:r>
          </w:p>
        </w:tc>
      </w:tr>
      <w:tr w:rsidR="00A575E8" w:rsidRPr="00A55F3F" w:rsidTr="00350FFF">
        <w:trPr>
          <w:tblCellSpacing w:w="21" w:type="dxa"/>
          <w:jc w:val="center"/>
        </w:trPr>
        <w:tc>
          <w:tcPr>
            <w:tcW w:w="9276" w:type="dxa"/>
            <w:gridSpan w:val="2"/>
            <w:vAlign w:val="center"/>
          </w:tcPr>
          <w:p w:rsidR="00A575E8" w:rsidRPr="00A55F3F" w:rsidRDefault="00A575E8" w:rsidP="00A55F3F">
            <w:pPr>
              <w:numPr>
                <w:ilvl w:val="0"/>
                <w:numId w:val="6"/>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understand the significance of and engage in lifelong learning by participating in professional development and professional communities.</w:t>
            </w:r>
          </w:p>
        </w:tc>
      </w:tr>
      <w:tr w:rsidR="00A575E8" w:rsidRPr="00A55F3F" w:rsidTr="00350FFF">
        <w:trPr>
          <w:trHeight w:val="268"/>
          <w:tblCellSpacing w:w="21" w:type="dxa"/>
          <w:jc w:val="center"/>
        </w:trPr>
        <w:tc>
          <w:tcPr>
            <w:tcW w:w="9276" w:type="dxa"/>
            <w:gridSpan w:val="2"/>
            <w:vAlign w:val="center"/>
          </w:tcPr>
          <w:p w:rsidR="00A575E8" w:rsidRPr="00A55F3F" w:rsidRDefault="00A575E8" w:rsidP="00A55F3F">
            <w:pPr>
              <w:numPr>
                <w:ilvl w:val="0"/>
                <w:numId w:val="6"/>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engage in activities to advance the profession.</w:t>
            </w:r>
          </w:p>
        </w:tc>
      </w:tr>
      <w:tr w:rsidR="00A575E8" w:rsidRPr="00A55F3F" w:rsidTr="00350FFF">
        <w:trPr>
          <w:trHeight w:val="268"/>
          <w:tblCellSpacing w:w="21" w:type="dxa"/>
          <w:jc w:val="center"/>
        </w:trPr>
        <w:tc>
          <w:tcPr>
            <w:tcW w:w="9276" w:type="dxa"/>
            <w:gridSpan w:val="2"/>
            <w:vAlign w:val="center"/>
          </w:tcPr>
          <w:p w:rsidR="00A575E8" w:rsidRPr="00A55F3F" w:rsidRDefault="00A575E8" w:rsidP="00A55F3F">
            <w:pPr>
              <w:numPr>
                <w:ilvl w:val="0"/>
                <w:numId w:val="6"/>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provide guidance and direction to paraeducators</w:t>
            </w:r>
          </w:p>
        </w:tc>
      </w:tr>
    </w:tbl>
    <w:p w:rsidR="00A575E8" w:rsidRPr="00FC0E8C" w:rsidRDefault="00A575E8" w:rsidP="00FC0E8C"/>
    <w:tbl>
      <w:tblPr>
        <w:tblStyle w:val="TableGrid"/>
        <w:tblW w:w="9360" w:type="dxa"/>
        <w:jc w:val="center"/>
        <w:tblCellSpacing w:w="21" w:type="dxa"/>
        <w:tblCellMar>
          <w:top w:w="43" w:type="dxa"/>
          <w:left w:w="43" w:type="dxa"/>
          <w:bottom w:w="43" w:type="dxa"/>
          <w:right w:w="43" w:type="dxa"/>
        </w:tblCellMar>
        <w:tblLook w:val="04A0"/>
      </w:tblPr>
      <w:tblGrid>
        <w:gridCol w:w="7155"/>
        <w:gridCol w:w="2205"/>
      </w:tblGrid>
      <w:tr w:rsidR="00A575E8" w:rsidRPr="00A575E8" w:rsidTr="00074345">
        <w:trPr>
          <w:tblCellSpacing w:w="21" w:type="dxa"/>
          <w:jc w:val="center"/>
        </w:trPr>
        <w:tc>
          <w:tcPr>
            <w:tcW w:w="9466" w:type="dxa"/>
            <w:gridSpan w:val="2"/>
            <w:shd w:val="clear" w:color="auto" w:fill="BFBFBF" w:themeFill="background1" w:themeFillShade="BF"/>
          </w:tcPr>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 xml:space="preserve">CEC Initial Preparation Standard 7 </w:t>
            </w:r>
          </w:p>
          <w:p w:rsidR="00A575E8" w:rsidRPr="00A575E8" w:rsidRDefault="00A575E8" w:rsidP="00A575E8">
            <w:pPr>
              <w:jc w:val="center"/>
              <w:rPr>
                <w:rFonts w:ascii="Arial" w:hAnsi="Arial" w:cs="Arial"/>
                <w:b/>
                <w:color w:val="000000" w:themeColor="text1"/>
                <w:szCs w:val="20"/>
              </w:rPr>
            </w:pPr>
            <w:r w:rsidRPr="00A575E8">
              <w:rPr>
                <w:rFonts w:ascii="Arial" w:hAnsi="Arial" w:cs="Arial"/>
                <w:b/>
                <w:color w:val="000000" w:themeColor="text1"/>
                <w:szCs w:val="20"/>
              </w:rPr>
              <w:t>Collaboration</w:t>
            </w:r>
          </w:p>
        </w:tc>
      </w:tr>
      <w:tr w:rsidR="00FC3219" w:rsidRPr="00A55F3F" w:rsidTr="00074345">
        <w:trPr>
          <w:tblCellSpacing w:w="21" w:type="dxa"/>
          <w:jc w:val="center"/>
        </w:trPr>
        <w:tc>
          <w:tcPr>
            <w:tcW w:w="7232" w:type="dxa"/>
          </w:tcPr>
          <w:p w:rsidR="00FC3219" w:rsidRPr="00A55F3F" w:rsidRDefault="00FC3219" w:rsidP="00A55F3F">
            <w:pPr>
              <w:tabs>
                <w:tab w:val="left" w:pos="4320"/>
              </w:tabs>
              <w:spacing w:before="120" w:after="120"/>
              <w:rPr>
                <w:rFonts w:ascii="Arial" w:hAnsi="Arial" w:cs="Arial"/>
                <w:b/>
                <w:i/>
                <w:color w:val="000000" w:themeColor="text1"/>
                <w:sz w:val="22"/>
              </w:rPr>
            </w:pPr>
            <w:r w:rsidRPr="00A55F3F">
              <w:rPr>
                <w:rFonts w:ascii="Arial" w:hAnsi="Arial" w:cs="Arial"/>
                <w:b/>
                <w:i/>
                <w:color w:val="000000" w:themeColor="text1"/>
                <w:sz w:val="22"/>
              </w:rPr>
              <w:t xml:space="preserve">Beginning special education professionals </w:t>
            </w:r>
            <w:r w:rsidRPr="00A55F3F">
              <w:rPr>
                <w:rFonts w:ascii="Arial" w:hAnsi="Arial" w:cs="Arial"/>
                <w:b/>
                <w:bCs/>
                <w:i/>
                <w:color w:val="000000" w:themeColor="text1"/>
                <w:sz w:val="22"/>
              </w:rPr>
              <w:t xml:space="preserve">collaborate with families, other educators, related </w:t>
            </w:r>
            <w:r w:rsidRPr="00A55F3F">
              <w:rPr>
                <w:rFonts w:ascii="Arial" w:hAnsi="Arial" w:cs="Arial"/>
                <w:b/>
                <w:i/>
                <w:color w:val="000000" w:themeColor="text1"/>
                <w:sz w:val="22"/>
              </w:rPr>
              <w:t>service</w:t>
            </w:r>
            <w:r w:rsidRPr="00A55F3F">
              <w:rPr>
                <w:rFonts w:ascii="Arial" w:hAnsi="Arial" w:cs="Arial"/>
                <w:b/>
                <w:bCs/>
                <w:i/>
                <w:color w:val="000000" w:themeColor="text1"/>
                <w:sz w:val="22"/>
              </w:rPr>
              <w:t xml:space="preserve"> providers, individuals with exceptionalities, and personnel from community agencies in culturally responsive ways </w:t>
            </w:r>
            <w:r w:rsidRPr="00A55F3F">
              <w:rPr>
                <w:rFonts w:ascii="Arial" w:hAnsi="Arial" w:cs="Arial"/>
                <w:b/>
                <w:i/>
                <w:color w:val="000000" w:themeColor="text1"/>
                <w:sz w:val="22"/>
              </w:rPr>
              <w:t xml:space="preserve">to assure that the needs of individuals with exceptionalities are </w:t>
            </w:r>
            <w:r w:rsidRPr="00A55F3F">
              <w:rPr>
                <w:rFonts w:ascii="Arial" w:hAnsi="Arial" w:cs="Arial"/>
                <w:b/>
                <w:i/>
                <w:color w:val="000000" w:themeColor="text1"/>
                <w:sz w:val="22"/>
                <w:szCs w:val="22"/>
              </w:rPr>
              <w:t>addressed</w:t>
            </w:r>
            <w:r w:rsidRPr="00A55F3F">
              <w:rPr>
                <w:rFonts w:ascii="Arial" w:hAnsi="Arial" w:cs="Arial"/>
                <w:b/>
                <w:i/>
                <w:color w:val="000000" w:themeColor="text1"/>
                <w:sz w:val="22"/>
              </w:rPr>
              <w:t xml:space="preserve"> across a range of</w:t>
            </w:r>
            <w:r w:rsidRPr="00A55F3F">
              <w:rPr>
                <w:rFonts w:ascii="Arial" w:hAnsi="Arial" w:cs="Arial"/>
                <w:b/>
                <w:i/>
                <w:strike/>
                <w:color w:val="000000" w:themeColor="text1"/>
                <w:sz w:val="22"/>
              </w:rPr>
              <w:t xml:space="preserve"> </w:t>
            </w:r>
            <w:r w:rsidRPr="00A55F3F">
              <w:rPr>
                <w:rFonts w:ascii="Arial" w:hAnsi="Arial" w:cs="Arial"/>
                <w:b/>
                <w:i/>
                <w:color w:val="000000" w:themeColor="text1"/>
                <w:sz w:val="22"/>
              </w:rPr>
              <w:t>learning experiences.</w:t>
            </w:r>
          </w:p>
        </w:tc>
        <w:tc>
          <w:tcPr>
            <w:tcW w:w="2192" w:type="dxa"/>
            <w:vAlign w:val="center"/>
          </w:tcPr>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1  </w:t>
            </w:r>
            <w:r w:rsidRPr="00FC3219">
              <w:rPr>
                <w:rFonts w:ascii="Arial" w:hAnsi="Arial" w:cs="Arial"/>
                <w:bCs/>
                <w:color w:val="000000" w:themeColor="text1"/>
                <w:sz w:val="22"/>
              </w:rPr>
              <w:t xml:space="preserve">     □   2</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3    </w:t>
            </w:r>
            <w:r w:rsidRPr="00FC3219">
              <w:rPr>
                <w:rFonts w:ascii="Arial" w:hAnsi="Arial" w:cs="Arial"/>
                <w:bCs/>
                <w:color w:val="000000" w:themeColor="text1"/>
                <w:sz w:val="22"/>
              </w:rPr>
              <w:t xml:space="preserve">   □   4</w:t>
            </w:r>
          </w:p>
          <w:p w:rsidR="00A575E8" w:rsidRPr="00FC3219" w:rsidRDefault="00A575E8" w:rsidP="00074345">
            <w:pPr>
              <w:tabs>
                <w:tab w:val="left" w:pos="4320"/>
              </w:tabs>
              <w:jc w:val="center"/>
              <w:rPr>
                <w:rFonts w:ascii="Arial" w:hAnsi="Arial" w:cs="Arial"/>
                <w:bCs/>
                <w:color w:val="000000" w:themeColor="text1"/>
                <w:sz w:val="22"/>
              </w:rPr>
            </w:pPr>
            <w:r>
              <w:rPr>
                <w:rFonts w:ascii="Arial" w:hAnsi="Arial" w:cs="Arial"/>
                <w:bCs/>
                <w:color w:val="000000" w:themeColor="text1"/>
                <w:sz w:val="22"/>
              </w:rPr>
              <w:t xml:space="preserve">□   5       </w:t>
            </w:r>
            <w:r w:rsidRPr="00FC3219">
              <w:rPr>
                <w:rFonts w:ascii="Arial" w:hAnsi="Arial" w:cs="Arial"/>
                <w:bCs/>
                <w:color w:val="000000" w:themeColor="text1"/>
                <w:sz w:val="22"/>
              </w:rPr>
              <w:t>□   6</w:t>
            </w:r>
          </w:p>
          <w:p w:rsidR="00FC3219" w:rsidRPr="00A55F3F" w:rsidRDefault="00A575E8" w:rsidP="00074345">
            <w:pPr>
              <w:tabs>
                <w:tab w:val="left" w:pos="4320"/>
              </w:tabs>
              <w:jc w:val="center"/>
              <w:rPr>
                <w:rFonts w:ascii="Arial" w:hAnsi="Arial" w:cs="Arial"/>
                <w:b/>
                <w:i/>
                <w:color w:val="000000" w:themeColor="text1"/>
                <w:sz w:val="22"/>
              </w:rPr>
            </w:pPr>
            <w:r>
              <w:rPr>
                <w:rFonts w:ascii="Arial" w:hAnsi="Arial" w:cs="Arial"/>
                <w:bCs/>
                <w:color w:val="000000" w:themeColor="text1"/>
                <w:sz w:val="22"/>
              </w:rPr>
              <w:t xml:space="preserve">□   7      </w:t>
            </w:r>
            <w:r w:rsidRPr="00FC3219">
              <w:rPr>
                <w:rFonts w:ascii="Arial" w:hAnsi="Arial" w:cs="Arial"/>
                <w:bCs/>
                <w:color w:val="000000" w:themeColor="text1"/>
                <w:sz w:val="22"/>
              </w:rPr>
              <w:t xml:space="preserve"> □   8</w:t>
            </w:r>
          </w:p>
        </w:tc>
      </w:tr>
      <w:tr w:rsidR="00A575E8" w:rsidRPr="00A575E8" w:rsidTr="00074345">
        <w:trPr>
          <w:tblCellSpacing w:w="21" w:type="dxa"/>
          <w:jc w:val="center"/>
        </w:trPr>
        <w:tc>
          <w:tcPr>
            <w:tcW w:w="9466" w:type="dxa"/>
            <w:gridSpan w:val="2"/>
            <w:shd w:val="clear" w:color="auto" w:fill="BFBFBF" w:themeFill="background1" w:themeFillShade="BF"/>
            <w:vAlign w:val="center"/>
          </w:tcPr>
          <w:p w:rsidR="00A575E8" w:rsidRPr="00A575E8" w:rsidRDefault="00A575E8" w:rsidP="00A55F3F">
            <w:pPr>
              <w:jc w:val="center"/>
              <w:rPr>
                <w:rFonts w:ascii="Arial" w:hAnsi="Arial" w:cs="Arial"/>
                <w:b/>
                <w:color w:val="000000" w:themeColor="text1"/>
                <w:szCs w:val="20"/>
              </w:rPr>
            </w:pPr>
            <w:r w:rsidRPr="00A575E8">
              <w:rPr>
                <w:rFonts w:ascii="Arial" w:hAnsi="Arial" w:cs="Arial"/>
                <w:b/>
                <w:color w:val="000000" w:themeColor="text1"/>
                <w:szCs w:val="20"/>
              </w:rPr>
              <w:t>Major Elements</w:t>
            </w:r>
          </w:p>
        </w:tc>
      </w:tr>
      <w:tr w:rsidR="00A575E8" w:rsidRPr="00A55F3F" w:rsidTr="00074345">
        <w:trPr>
          <w:tblCellSpacing w:w="21" w:type="dxa"/>
          <w:jc w:val="center"/>
        </w:trPr>
        <w:tc>
          <w:tcPr>
            <w:tcW w:w="9466" w:type="dxa"/>
            <w:gridSpan w:val="2"/>
            <w:vAlign w:val="center"/>
          </w:tcPr>
          <w:p w:rsidR="00A575E8" w:rsidRPr="00A55F3F" w:rsidRDefault="00A575E8" w:rsidP="00A55F3F">
            <w:pPr>
              <w:numPr>
                <w:ilvl w:val="0"/>
                <w:numId w:val="7"/>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share resources with their colleagues in understanding the laws, policies, and practices relevant to individuals with exceptionalities.</w:t>
            </w:r>
          </w:p>
        </w:tc>
      </w:tr>
      <w:tr w:rsidR="00A575E8" w:rsidRPr="00A55F3F" w:rsidTr="00074345">
        <w:trPr>
          <w:tblCellSpacing w:w="21" w:type="dxa"/>
          <w:jc w:val="center"/>
        </w:trPr>
        <w:tc>
          <w:tcPr>
            <w:tcW w:w="9466" w:type="dxa"/>
            <w:gridSpan w:val="2"/>
            <w:vAlign w:val="center"/>
          </w:tcPr>
          <w:p w:rsidR="00A575E8" w:rsidRPr="00A55F3F" w:rsidRDefault="00A575E8" w:rsidP="00A55F3F">
            <w:pPr>
              <w:numPr>
                <w:ilvl w:val="0"/>
                <w:numId w:val="7"/>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collaborate with individuals and teams to facilitate a variety of plans for individuals with exceptionalities across a wide range of settings and a range of different learning experiences.</w:t>
            </w:r>
          </w:p>
        </w:tc>
      </w:tr>
      <w:tr w:rsidR="00A575E8" w:rsidRPr="00A55F3F" w:rsidTr="00074345">
        <w:trPr>
          <w:tblCellSpacing w:w="21" w:type="dxa"/>
          <w:jc w:val="center"/>
        </w:trPr>
        <w:tc>
          <w:tcPr>
            <w:tcW w:w="9466" w:type="dxa"/>
            <w:gridSpan w:val="2"/>
            <w:vAlign w:val="center"/>
          </w:tcPr>
          <w:p w:rsidR="00A575E8" w:rsidRPr="00A55F3F" w:rsidRDefault="00A575E8" w:rsidP="00A55F3F">
            <w:pPr>
              <w:numPr>
                <w:ilvl w:val="0"/>
                <w:numId w:val="7"/>
              </w:numPr>
              <w:ind w:left="450" w:hanging="450"/>
              <w:rPr>
                <w:rFonts w:ascii="Arial" w:hAnsi="Arial" w:cs="Arial"/>
                <w:color w:val="000000" w:themeColor="text1"/>
                <w:sz w:val="22"/>
              </w:rPr>
            </w:pPr>
            <w:r w:rsidRPr="00A55F3F">
              <w:rPr>
                <w:rFonts w:ascii="Arial" w:hAnsi="Arial" w:cs="Arial"/>
                <w:color w:val="000000" w:themeColor="text1"/>
                <w:sz w:val="22"/>
              </w:rPr>
              <w:t>Beginning special education professionals promote and advocate for the well-being of individuals with exceptional learning needs across as wide range of settings.</w:t>
            </w:r>
          </w:p>
        </w:tc>
      </w:tr>
    </w:tbl>
    <w:p w:rsidR="004B5247" w:rsidRPr="000C21EC" w:rsidRDefault="004B5247" w:rsidP="001E4871">
      <w:pPr>
        <w:rPr>
          <w:rFonts w:ascii="Arial" w:hAnsi="Arial" w:cs="Arial"/>
        </w:rPr>
      </w:pPr>
    </w:p>
    <w:sectPr w:rsidR="004B5247" w:rsidRPr="000C21EC" w:rsidSect="002C59B4">
      <w:headerReference w:type="default" r:id="rId8"/>
      <w:headerReference w:type="first" r:id="rId9"/>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5E8" w:rsidRDefault="00A575E8">
      <w:r>
        <w:separator/>
      </w:r>
    </w:p>
  </w:endnote>
  <w:endnote w:type="continuationSeparator" w:id="0">
    <w:p w:rsidR="00A575E8" w:rsidRDefault="00A57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5E8" w:rsidRDefault="00A575E8">
      <w:r>
        <w:separator/>
      </w:r>
    </w:p>
  </w:footnote>
  <w:footnote w:type="continuationSeparator" w:id="0">
    <w:p w:rsidR="00A575E8" w:rsidRDefault="00A575E8">
      <w:r>
        <w:continuationSeparator/>
      </w:r>
    </w:p>
  </w:footnote>
  <w:footnote w:id="1">
    <w:p w:rsidR="00A575E8" w:rsidRPr="004C383F" w:rsidRDefault="00A575E8" w:rsidP="00A55F3F">
      <w:pPr>
        <w:pStyle w:val="FootnoteText"/>
        <w:tabs>
          <w:tab w:val="left" w:pos="180"/>
        </w:tabs>
        <w:spacing w:after="60"/>
        <w:ind w:left="187" w:hanging="187"/>
        <w:rPr>
          <w:rFonts w:asciiTheme="minorBidi" w:hAnsiTheme="minorBidi" w:cstheme="minorBidi"/>
        </w:rPr>
      </w:pPr>
      <w:r w:rsidRPr="004C383F">
        <w:rPr>
          <w:rStyle w:val="FootnoteReference"/>
          <w:rFonts w:asciiTheme="minorBidi" w:hAnsiTheme="minorBidi" w:cstheme="minorBidi"/>
        </w:rPr>
        <w:footnoteRef/>
      </w:r>
      <w:r w:rsidRPr="004C383F">
        <w:rPr>
          <w:rFonts w:asciiTheme="minorBidi" w:hAnsiTheme="minorBidi" w:cstheme="minorBidi"/>
        </w:rPr>
        <w:t xml:space="preserve"> </w:t>
      </w:r>
      <w:r w:rsidRPr="004C383F">
        <w:rPr>
          <w:rFonts w:asciiTheme="minorBidi" w:hAnsiTheme="minorBidi" w:cstheme="minorBidi"/>
        </w:rPr>
        <w:tab/>
        <w:t>As used, “specialized curricula” means the content of specialized sets of interventions including, but not limited to academic, strategic, social, emotional, and independence curricula.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E8" w:rsidRDefault="00A575E8" w:rsidP="005E680A">
    <w:pPr>
      <w:pStyle w:val="Header"/>
      <w:jc w:val="right"/>
      <w:rPr>
        <w:rFonts w:ascii="Arial" w:hAnsi="Arial" w:cs="Arial"/>
        <w:sz w:val="18"/>
      </w:rPr>
    </w:pPr>
    <w:fldSimple w:instr=" FILENAME   \* MERGEFORMAT ">
      <w:r w:rsidRPr="00646633">
        <w:rPr>
          <w:rFonts w:ascii="Arial" w:hAnsi="Arial" w:cs="Arial"/>
          <w:noProof/>
          <w:sz w:val="18"/>
        </w:rPr>
        <w:t>2.2 Report Section III Assessments &amp; Standards Alignment</w:t>
      </w:r>
    </w:fldSimple>
  </w:p>
  <w:p w:rsidR="00A575E8" w:rsidRDefault="00A575E8" w:rsidP="005E680A">
    <w:pPr>
      <w:pStyle w:val="Header"/>
      <w:jc w:val="right"/>
      <w:rPr>
        <w:rFonts w:ascii="Arial" w:hAnsi="Arial" w:cs="Arial"/>
        <w:sz w:val="18"/>
      </w:rPr>
    </w:pP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sidR="00D33F1E">
      <w:rPr>
        <w:rFonts w:ascii="Arial" w:hAnsi="Arial" w:cs="Arial"/>
        <w:noProof/>
        <w:sz w:val="18"/>
      </w:rPr>
      <w:t>4</w:t>
    </w:r>
    <w:r>
      <w:rPr>
        <w:rFonts w:ascii="Arial" w:hAnsi="Arial" w:cs="Arial"/>
        <w:sz w:val="18"/>
      </w:rPr>
      <w:fldChar w:fldCharType="end"/>
    </w:r>
  </w:p>
  <w:p w:rsidR="00A575E8" w:rsidRDefault="00A575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E8" w:rsidRPr="00FC0ED2" w:rsidRDefault="00A575E8" w:rsidP="001E4871">
    <w:pPr>
      <w:pStyle w:val="Header"/>
      <w:rPr>
        <w:rFonts w:ascii="Calibri" w:hAnsi="Calibri"/>
        <w:sz w:val="16"/>
        <w:szCs w:val="16"/>
      </w:rPr>
    </w:pPr>
    <w:smartTag w:uri="urn:schemas-microsoft-com:office:smarttags" w:element="place">
      <w:smartTag w:uri="urn:schemas-microsoft-com:office:smarttags" w:element="PlaceName">
        <w:r w:rsidRPr="00622CB9">
          <w:rPr>
            <w:rFonts w:ascii="Calibri" w:hAnsi="Calibri"/>
            <w:b/>
            <w:sz w:val="16"/>
            <w:szCs w:val="16"/>
          </w:rPr>
          <w:t>Delt</w:t>
        </w:r>
        <w:r w:rsidRPr="00FC0ED2">
          <w:rPr>
            <w:rFonts w:ascii="Calibri" w:hAnsi="Calibri"/>
            <w:sz w:val="16"/>
            <w:szCs w:val="16"/>
          </w:rPr>
          <w:t>a</w:t>
        </w:r>
      </w:smartTag>
      <w:r w:rsidRPr="00FC0ED2">
        <w:rPr>
          <w:rFonts w:ascii="Calibri" w:hAnsi="Calibri"/>
          <w:sz w:val="16"/>
          <w:szCs w:val="16"/>
        </w:rPr>
        <w:t xml:space="preserve"> </w:t>
      </w:r>
      <w:smartTag w:uri="urn:schemas-microsoft-com:office:smarttags" w:element="PlaceType">
        <w:r w:rsidRPr="00FC0ED2">
          <w:rPr>
            <w:rFonts w:ascii="Calibri" w:hAnsi="Calibri"/>
            <w:sz w:val="16"/>
            <w:szCs w:val="16"/>
          </w:rPr>
          <w:t>State</w:t>
        </w:r>
      </w:smartTag>
      <w:r w:rsidRPr="00FC0ED2">
        <w:rPr>
          <w:rFonts w:ascii="Calibri" w:hAnsi="Calibri"/>
          <w:sz w:val="16"/>
          <w:szCs w:val="16"/>
        </w:rPr>
        <w:t xml:space="preserve"> </w:t>
      </w:r>
      <w:smartTag w:uri="urn:schemas-microsoft-com:office:smarttags" w:element="PlaceType">
        <w:r w:rsidRPr="00FC0ED2">
          <w:rPr>
            <w:rFonts w:ascii="Calibri" w:hAnsi="Calibri"/>
            <w:sz w:val="16"/>
            <w:szCs w:val="16"/>
          </w:rPr>
          <w:t>University</w:t>
        </w:r>
      </w:smartTag>
    </w:smartTag>
  </w:p>
  <w:p w:rsidR="00A575E8" w:rsidRPr="00FC0ED2" w:rsidRDefault="00A575E8" w:rsidP="001E4871">
    <w:pPr>
      <w:pStyle w:val="Header"/>
      <w:rPr>
        <w:rFonts w:ascii="Calibri" w:hAnsi="Calibri"/>
        <w:sz w:val="16"/>
        <w:szCs w:val="16"/>
      </w:rPr>
    </w:pPr>
    <w:r w:rsidRPr="00FC0ED2">
      <w:rPr>
        <w:rFonts w:ascii="Calibri" w:hAnsi="Calibri"/>
        <w:sz w:val="16"/>
        <w:szCs w:val="16"/>
      </w:rPr>
      <w:t>M.Ed. in Special Education: Mild/Moderate Disabilities K-12</w:t>
    </w:r>
  </w:p>
  <w:p w:rsidR="00A575E8" w:rsidRPr="00FC0ED2" w:rsidRDefault="00A575E8" w:rsidP="001E4871">
    <w:pPr>
      <w:pStyle w:val="Header"/>
      <w:rPr>
        <w:rFonts w:ascii="Calibri" w:hAnsi="Calibri"/>
        <w:sz w:val="16"/>
        <w:szCs w:val="16"/>
      </w:rPr>
    </w:pPr>
    <w:r w:rsidRPr="00FC0ED2">
      <w:rPr>
        <w:rFonts w:ascii="Calibri" w:hAnsi="Calibri"/>
        <w:sz w:val="16"/>
        <w:szCs w:val="16"/>
      </w:rPr>
      <w:t>CEC Program Report Fall 2008</w:t>
    </w:r>
  </w:p>
  <w:p w:rsidR="00A575E8" w:rsidRDefault="00A575E8">
    <w:pPr>
      <w:pStyle w:val="Header"/>
    </w:pPr>
  </w:p>
  <w:p w:rsidR="00A575E8" w:rsidRDefault="00A575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93A"/>
    <w:multiLevelType w:val="hybridMultilevel"/>
    <w:tmpl w:val="11E62B48"/>
    <w:lvl w:ilvl="0" w:tplc="4506731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E4B05"/>
    <w:multiLevelType w:val="hybridMultilevel"/>
    <w:tmpl w:val="661A678E"/>
    <w:lvl w:ilvl="0" w:tplc="4506731C">
      <w:start w:val="1"/>
      <w:numFmt w:val="decimal"/>
      <w:lvlText w:val="1.%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21453E"/>
    <w:multiLevelType w:val="hybridMultilevel"/>
    <w:tmpl w:val="63226872"/>
    <w:lvl w:ilvl="0" w:tplc="A8E257F8">
      <w:start w:val="1"/>
      <w:numFmt w:val="decimal"/>
      <w:lvlText w:val="2.%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11726D"/>
    <w:multiLevelType w:val="hybridMultilevel"/>
    <w:tmpl w:val="A70035CE"/>
    <w:lvl w:ilvl="0" w:tplc="AD6C8B58">
      <w:start w:val="1"/>
      <w:numFmt w:val="decimal"/>
      <w:lvlText w:val="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CD6C16"/>
    <w:multiLevelType w:val="hybridMultilevel"/>
    <w:tmpl w:val="04489A7A"/>
    <w:lvl w:ilvl="0" w:tplc="845C239A">
      <w:start w:val="1"/>
      <w:numFmt w:val="decimal"/>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6A3355"/>
    <w:multiLevelType w:val="hybridMultilevel"/>
    <w:tmpl w:val="418E6FE6"/>
    <w:lvl w:ilvl="0" w:tplc="9F5AAA94">
      <w:start w:val="1"/>
      <w:numFmt w:val="decimal"/>
      <w:lvlText w:val="4.%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8B39B2"/>
    <w:multiLevelType w:val="hybridMultilevel"/>
    <w:tmpl w:val="C2AA7F0E"/>
    <w:lvl w:ilvl="0" w:tplc="0DA4CC90">
      <w:start w:val="1"/>
      <w:numFmt w:val="decimal"/>
      <w:lvlText w:val="7.%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B0041C"/>
    <w:multiLevelType w:val="hybridMultilevel"/>
    <w:tmpl w:val="E1562EE2"/>
    <w:lvl w:ilvl="0" w:tplc="A4969BCE">
      <w:start w:val="1"/>
      <w:numFmt w:val="decimal"/>
      <w:lvlText w:val="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5"/>
  </w:num>
  <w:num w:numId="5">
    <w:abstractNumId w:val="7"/>
  </w:num>
  <w:num w:numId="6">
    <w:abstractNumId w:val="3"/>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6C0567"/>
    <w:rsid w:val="00074345"/>
    <w:rsid w:val="000C21EC"/>
    <w:rsid w:val="00140D45"/>
    <w:rsid w:val="001C70C8"/>
    <w:rsid w:val="001E4871"/>
    <w:rsid w:val="001F6E70"/>
    <w:rsid w:val="00223AB0"/>
    <w:rsid w:val="002C278B"/>
    <w:rsid w:val="002C59B4"/>
    <w:rsid w:val="00350FFF"/>
    <w:rsid w:val="00450ABE"/>
    <w:rsid w:val="004B5247"/>
    <w:rsid w:val="004C383F"/>
    <w:rsid w:val="004D4686"/>
    <w:rsid w:val="004E20A2"/>
    <w:rsid w:val="0053116F"/>
    <w:rsid w:val="005E680A"/>
    <w:rsid w:val="00646633"/>
    <w:rsid w:val="00651DB7"/>
    <w:rsid w:val="006539F1"/>
    <w:rsid w:val="0069499E"/>
    <w:rsid w:val="006A30D4"/>
    <w:rsid w:val="006C0567"/>
    <w:rsid w:val="00863449"/>
    <w:rsid w:val="009B2947"/>
    <w:rsid w:val="00A31EB2"/>
    <w:rsid w:val="00A55F3F"/>
    <w:rsid w:val="00A575E8"/>
    <w:rsid w:val="00B05D3F"/>
    <w:rsid w:val="00B26FF3"/>
    <w:rsid w:val="00B3115B"/>
    <w:rsid w:val="00B522FF"/>
    <w:rsid w:val="00CF485A"/>
    <w:rsid w:val="00D05D7A"/>
    <w:rsid w:val="00D172F2"/>
    <w:rsid w:val="00D25CFB"/>
    <w:rsid w:val="00D33F1E"/>
    <w:rsid w:val="00D5122C"/>
    <w:rsid w:val="00DE300E"/>
    <w:rsid w:val="00FA5AD5"/>
    <w:rsid w:val="00FC0E8C"/>
    <w:rsid w:val="00FC3219"/>
    <w:rsid w:val="00FD2EFC"/>
    <w:rsid w:val="00FE22C1"/>
    <w:rsid w:val="00FF12F7"/>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567"/>
    <w:rPr>
      <w:sz w:val="24"/>
      <w:szCs w:val="24"/>
    </w:rPr>
  </w:style>
  <w:style w:type="paragraph" w:styleId="Heading2">
    <w:name w:val="heading 2"/>
    <w:basedOn w:val="Normal"/>
    <w:next w:val="Normal"/>
    <w:link w:val="Heading2Char"/>
    <w:semiHidden/>
    <w:unhideWhenUsed/>
    <w:qFormat/>
    <w:rsid w:val="00FF12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0567"/>
    <w:pPr>
      <w:tabs>
        <w:tab w:val="center" w:pos="4320"/>
        <w:tab w:val="right" w:pos="8640"/>
      </w:tabs>
    </w:pPr>
  </w:style>
  <w:style w:type="paragraph" w:styleId="BodyText">
    <w:name w:val="Body Text"/>
    <w:basedOn w:val="Normal"/>
    <w:rsid w:val="006C0567"/>
    <w:rPr>
      <w:rFonts w:ascii="Tahoma" w:hAnsi="Tahoma" w:cs="Tahoma"/>
      <w:bCs/>
      <w:sz w:val="22"/>
      <w:szCs w:val="22"/>
    </w:rPr>
  </w:style>
  <w:style w:type="table" w:styleId="TableGrid">
    <w:name w:val="Table Grid"/>
    <w:basedOn w:val="TableNormal"/>
    <w:rsid w:val="006C0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E4871"/>
    <w:pPr>
      <w:tabs>
        <w:tab w:val="center" w:pos="4680"/>
        <w:tab w:val="right" w:pos="9360"/>
      </w:tabs>
    </w:pPr>
  </w:style>
  <w:style w:type="character" w:customStyle="1" w:styleId="FooterChar">
    <w:name w:val="Footer Char"/>
    <w:basedOn w:val="DefaultParagraphFont"/>
    <w:link w:val="Footer"/>
    <w:rsid w:val="001E4871"/>
    <w:rPr>
      <w:sz w:val="24"/>
      <w:szCs w:val="24"/>
    </w:rPr>
  </w:style>
  <w:style w:type="character" w:customStyle="1" w:styleId="HeaderChar">
    <w:name w:val="Header Char"/>
    <w:basedOn w:val="DefaultParagraphFont"/>
    <w:link w:val="Header"/>
    <w:uiPriority w:val="99"/>
    <w:rsid w:val="001E4871"/>
    <w:rPr>
      <w:sz w:val="24"/>
      <w:szCs w:val="24"/>
    </w:rPr>
  </w:style>
  <w:style w:type="paragraph" w:styleId="BalloonText">
    <w:name w:val="Balloon Text"/>
    <w:basedOn w:val="Normal"/>
    <w:link w:val="BalloonTextChar"/>
    <w:rsid w:val="001E4871"/>
    <w:rPr>
      <w:rFonts w:ascii="Tahoma" w:hAnsi="Tahoma" w:cs="Tahoma"/>
      <w:sz w:val="16"/>
      <w:szCs w:val="16"/>
    </w:rPr>
  </w:style>
  <w:style w:type="character" w:customStyle="1" w:styleId="BalloonTextChar">
    <w:name w:val="Balloon Text Char"/>
    <w:basedOn w:val="DefaultParagraphFont"/>
    <w:link w:val="BalloonText"/>
    <w:rsid w:val="001E4871"/>
    <w:rPr>
      <w:rFonts w:ascii="Tahoma" w:hAnsi="Tahoma" w:cs="Tahoma"/>
      <w:sz w:val="16"/>
      <w:szCs w:val="16"/>
    </w:rPr>
  </w:style>
  <w:style w:type="paragraph" w:styleId="FootnoteText">
    <w:name w:val="footnote text"/>
    <w:basedOn w:val="Normal"/>
    <w:link w:val="FootnoteTextChar"/>
    <w:rsid w:val="002C59B4"/>
    <w:rPr>
      <w:sz w:val="20"/>
      <w:szCs w:val="20"/>
    </w:rPr>
  </w:style>
  <w:style w:type="character" w:customStyle="1" w:styleId="FootnoteTextChar">
    <w:name w:val="Footnote Text Char"/>
    <w:basedOn w:val="DefaultParagraphFont"/>
    <w:link w:val="FootnoteText"/>
    <w:rsid w:val="002C59B4"/>
  </w:style>
  <w:style w:type="character" w:styleId="FootnoteReference">
    <w:name w:val="footnote reference"/>
    <w:basedOn w:val="DefaultParagraphFont"/>
    <w:rsid w:val="002C59B4"/>
    <w:rPr>
      <w:vertAlign w:val="superscript"/>
    </w:rPr>
  </w:style>
  <w:style w:type="character" w:customStyle="1" w:styleId="Heading2Char">
    <w:name w:val="Heading 2 Char"/>
    <w:basedOn w:val="DefaultParagraphFont"/>
    <w:link w:val="Heading2"/>
    <w:semiHidden/>
    <w:rsid w:val="00FF12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50FFF"/>
    <w:pPr>
      <w:ind w:left="720"/>
      <w:contextualSpacing/>
    </w:pPr>
  </w:style>
</w:styles>
</file>

<file path=word/webSettings.xml><?xml version="1.0" encoding="utf-8"?>
<w:webSettings xmlns:r="http://schemas.openxmlformats.org/officeDocument/2006/relationships" xmlns:w="http://schemas.openxmlformats.org/wordprocessingml/2006/main">
  <w:divs>
    <w:div w:id="3207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86B60-C275-4CCA-A63B-15F76D8D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1111</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III—RELATIONSHIP OF ASSESSMENT TO STANDARDS</vt:lpstr>
    </vt:vector>
  </TitlesOfParts>
  <Company>Delta State University</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III—RELATIONSHIP OF ASSESSMENT TO STANDARDS</dc:title>
  <dc:subject/>
  <dc:creator>OIT</dc:creator>
  <cp:keywords/>
  <dc:description/>
  <cp:lastModifiedBy>ortiz</cp:lastModifiedBy>
  <cp:revision>6</cp:revision>
  <cp:lastPrinted>2010-03-25T19:41:00Z</cp:lastPrinted>
  <dcterms:created xsi:type="dcterms:W3CDTF">2012-04-02T13:23:00Z</dcterms:created>
  <dcterms:modified xsi:type="dcterms:W3CDTF">2012-04-02T14:31:00Z</dcterms:modified>
</cp:coreProperties>
</file>