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67" w:rsidRPr="008C53E7" w:rsidRDefault="006C0567" w:rsidP="00FC0E8C">
      <w:pPr>
        <w:shd w:val="clear" w:color="auto" w:fill="E0E0E0"/>
        <w:ind w:right="-360"/>
        <w:jc w:val="center"/>
        <w:rPr>
          <w:rFonts w:ascii="Arial" w:hAnsi="Arial" w:cs="Arial"/>
          <w:b/>
          <w:sz w:val="22"/>
          <w:szCs w:val="22"/>
        </w:rPr>
      </w:pPr>
      <w:r w:rsidRPr="008C53E7">
        <w:rPr>
          <w:rFonts w:ascii="Arial" w:hAnsi="Arial" w:cs="Arial"/>
          <w:b/>
          <w:sz w:val="26"/>
          <w:szCs w:val="26"/>
        </w:rPr>
        <w:t xml:space="preserve">SECTION </w:t>
      </w:r>
      <w:smartTag w:uri="urn:schemas-microsoft-com:office:smarttags" w:element="stockticker">
        <w:r w:rsidRPr="008C53E7">
          <w:rPr>
            <w:rFonts w:ascii="Arial" w:hAnsi="Arial" w:cs="Arial"/>
            <w:b/>
            <w:sz w:val="26"/>
            <w:szCs w:val="26"/>
          </w:rPr>
          <w:t>III</w:t>
        </w:r>
      </w:smartTag>
      <w:r w:rsidRPr="008C53E7">
        <w:rPr>
          <w:rFonts w:ascii="Arial" w:hAnsi="Arial" w:cs="Arial"/>
          <w:b/>
          <w:sz w:val="26"/>
          <w:szCs w:val="26"/>
        </w:rPr>
        <w:t xml:space="preserve"> </w:t>
      </w:r>
      <w:r w:rsidR="00FC0E8C" w:rsidRPr="008C53E7">
        <w:rPr>
          <w:rFonts w:ascii="Arial" w:hAnsi="Arial" w:cs="Arial"/>
          <w:b/>
          <w:sz w:val="26"/>
          <w:szCs w:val="26"/>
        </w:rPr>
        <w:t xml:space="preserve">PROGRAM </w:t>
      </w:r>
      <w:r w:rsidRPr="008C53E7">
        <w:rPr>
          <w:rFonts w:ascii="Arial" w:hAnsi="Arial" w:cs="Arial"/>
          <w:b/>
          <w:sz w:val="26"/>
          <w:szCs w:val="26"/>
        </w:rPr>
        <w:t xml:space="preserve">ASSESSMENT TO </w:t>
      </w:r>
      <w:r w:rsidR="00FC0E8C" w:rsidRPr="008C53E7">
        <w:rPr>
          <w:rFonts w:ascii="Arial" w:hAnsi="Arial" w:cs="Arial"/>
          <w:b/>
          <w:sz w:val="26"/>
          <w:szCs w:val="26"/>
        </w:rPr>
        <w:t xml:space="preserve">CEC PREPARATION </w:t>
      </w:r>
      <w:r w:rsidRPr="008C53E7">
        <w:rPr>
          <w:rFonts w:ascii="Arial" w:hAnsi="Arial" w:cs="Arial"/>
          <w:b/>
          <w:sz w:val="26"/>
          <w:szCs w:val="26"/>
        </w:rPr>
        <w:t>STANDARDS</w:t>
      </w:r>
      <w:r w:rsidR="00651DB7" w:rsidRPr="008C53E7">
        <w:rPr>
          <w:rFonts w:ascii="Arial" w:hAnsi="Arial" w:cs="Arial"/>
          <w:b/>
          <w:sz w:val="26"/>
          <w:szCs w:val="26"/>
        </w:rPr>
        <w:t xml:space="preserve"> ALIGNMENT</w:t>
      </w:r>
    </w:p>
    <w:p w:rsidR="00651DB7" w:rsidRPr="008C53E7" w:rsidRDefault="00651DB7" w:rsidP="002C59B4">
      <w:pPr>
        <w:jc w:val="both"/>
        <w:rPr>
          <w:rFonts w:ascii="Arial" w:hAnsi="Arial" w:cs="Arial"/>
          <w:sz w:val="22"/>
          <w:szCs w:val="22"/>
        </w:rPr>
      </w:pPr>
    </w:p>
    <w:p w:rsidR="006C0567" w:rsidRPr="008C53E7" w:rsidRDefault="006C0567" w:rsidP="00350FFF">
      <w:pPr>
        <w:jc w:val="both"/>
        <w:rPr>
          <w:rFonts w:ascii="Arial" w:hAnsi="Arial" w:cs="Arial"/>
          <w:sz w:val="22"/>
          <w:szCs w:val="22"/>
        </w:rPr>
      </w:pPr>
      <w:r w:rsidRPr="008C53E7">
        <w:rPr>
          <w:rFonts w:ascii="Arial" w:hAnsi="Arial" w:cs="Arial"/>
          <w:sz w:val="22"/>
          <w:szCs w:val="22"/>
        </w:rPr>
        <w:t xml:space="preserve">For each </w:t>
      </w:r>
      <w:smartTag w:uri="urn:schemas-microsoft-com:office:smarttags" w:element="stockticker">
        <w:r w:rsidRPr="008C53E7">
          <w:rPr>
            <w:rFonts w:ascii="Arial" w:hAnsi="Arial" w:cs="Arial"/>
            <w:sz w:val="22"/>
            <w:szCs w:val="22"/>
          </w:rPr>
          <w:t>CEC</w:t>
        </w:r>
      </w:smartTag>
      <w:r w:rsidRPr="008C53E7">
        <w:rPr>
          <w:rFonts w:ascii="Arial" w:hAnsi="Arial" w:cs="Arial"/>
          <w:sz w:val="22"/>
          <w:szCs w:val="22"/>
        </w:rPr>
        <w:t xml:space="preserve"> </w:t>
      </w:r>
      <w:r w:rsidR="00350FFF" w:rsidRPr="008C53E7">
        <w:rPr>
          <w:rFonts w:ascii="Arial" w:hAnsi="Arial" w:cs="Arial"/>
          <w:sz w:val="22"/>
          <w:szCs w:val="22"/>
        </w:rPr>
        <w:t>Preparation Standard</w:t>
      </w:r>
      <w:r w:rsidRPr="008C53E7">
        <w:rPr>
          <w:rFonts w:ascii="Arial" w:hAnsi="Arial" w:cs="Arial"/>
          <w:sz w:val="22"/>
          <w:szCs w:val="22"/>
        </w:rPr>
        <w:t xml:space="preserve"> below, identify the </w:t>
      </w:r>
      <w:r w:rsidR="00350FFF" w:rsidRPr="008C53E7">
        <w:rPr>
          <w:rFonts w:ascii="Arial" w:hAnsi="Arial" w:cs="Arial"/>
          <w:sz w:val="22"/>
          <w:szCs w:val="22"/>
        </w:rPr>
        <w:t xml:space="preserve">program </w:t>
      </w:r>
      <w:r w:rsidRPr="008C53E7">
        <w:rPr>
          <w:rFonts w:ascii="Arial" w:hAnsi="Arial" w:cs="Arial"/>
          <w:sz w:val="22"/>
          <w:szCs w:val="22"/>
        </w:rPr>
        <w:t xml:space="preserve">assessment(s) in </w:t>
      </w:r>
      <w:r w:rsidR="00350FFF" w:rsidRPr="008C53E7">
        <w:rPr>
          <w:rFonts w:ascii="Arial" w:hAnsi="Arial" w:cs="Arial"/>
          <w:sz w:val="22"/>
          <w:szCs w:val="22"/>
        </w:rPr>
        <w:t xml:space="preserve">identified </w:t>
      </w:r>
      <w:r w:rsidRPr="008C53E7">
        <w:rPr>
          <w:rFonts w:ascii="Arial" w:hAnsi="Arial" w:cs="Arial"/>
          <w:sz w:val="22"/>
          <w:szCs w:val="22"/>
        </w:rPr>
        <w:t xml:space="preserve">Section II that </w:t>
      </w:r>
      <w:r w:rsidR="00350FFF" w:rsidRPr="008C53E7">
        <w:rPr>
          <w:rFonts w:ascii="Arial" w:hAnsi="Arial" w:cs="Arial"/>
          <w:sz w:val="22"/>
          <w:szCs w:val="22"/>
        </w:rPr>
        <w:t>align to the S</w:t>
      </w:r>
      <w:r w:rsidRPr="008C53E7">
        <w:rPr>
          <w:rFonts w:ascii="Arial" w:hAnsi="Arial" w:cs="Arial"/>
          <w:sz w:val="22"/>
          <w:szCs w:val="22"/>
        </w:rPr>
        <w:t xml:space="preserve">tandard. </w:t>
      </w:r>
      <w:r w:rsidR="00350FFF" w:rsidRPr="008C53E7">
        <w:rPr>
          <w:rFonts w:ascii="Arial" w:hAnsi="Arial" w:cs="Arial"/>
          <w:sz w:val="22"/>
          <w:szCs w:val="22"/>
        </w:rPr>
        <w:t xml:space="preserve"> </w:t>
      </w:r>
      <w:r w:rsidRPr="008C53E7">
        <w:rPr>
          <w:rFonts w:ascii="Arial" w:hAnsi="Arial" w:cs="Arial"/>
          <w:sz w:val="22"/>
          <w:szCs w:val="22"/>
        </w:rPr>
        <w:t xml:space="preserve">One </w:t>
      </w:r>
      <w:r w:rsidR="00350FFF" w:rsidRPr="008C53E7">
        <w:rPr>
          <w:rFonts w:ascii="Arial" w:hAnsi="Arial" w:cs="Arial"/>
          <w:sz w:val="22"/>
          <w:szCs w:val="22"/>
        </w:rPr>
        <w:t xml:space="preserve">program </w:t>
      </w:r>
      <w:r w:rsidRPr="008C53E7">
        <w:rPr>
          <w:rFonts w:ascii="Arial" w:hAnsi="Arial" w:cs="Arial"/>
          <w:sz w:val="22"/>
          <w:szCs w:val="22"/>
        </w:rPr>
        <w:t xml:space="preserve">assessment may </w:t>
      </w:r>
      <w:r w:rsidR="00350FFF" w:rsidRPr="008C53E7">
        <w:rPr>
          <w:rFonts w:ascii="Arial" w:hAnsi="Arial" w:cs="Arial"/>
          <w:sz w:val="22"/>
          <w:szCs w:val="22"/>
        </w:rPr>
        <w:t>be cited for</w:t>
      </w:r>
      <w:r w:rsidRPr="008C53E7">
        <w:rPr>
          <w:rFonts w:ascii="Arial" w:hAnsi="Arial" w:cs="Arial"/>
          <w:sz w:val="22"/>
          <w:szCs w:val="22"/>
        </w:rPr>
        <w:t xml:space="preserve"> multiple </w:t>
      </w:r>
      <w:smartTag w:uri="urn:schemas-microsoft-com:office:smarttags" w:element="stockticker">
        <w:r w:rsidRPr="008C53E7">
          <w:rPr>
            <w:rFonts w:ascii="Arial" w:hAnsi="Arial" w:cs="Arial"/>
            <w:sz w:val="22"/>
            <w:szCs w:val="22"/>
          </w:rPr>
          <w:t>CEC</w:t>
        </w:r>
      </w:smartTag>
      <w:r w:rsidRPr="008C53E7">
        <w:rPr>
          <w:rFonts w:ascii="Arial" w:hAnsi="Arial" w:cs="Arial"/>
          <w:sz w:val="22"/>
          <w:szCs w:val="22"/>
        </w:rPr>
        <w:t xml:space="preserve"> standards</w:t>
      </w:r>
      <w:r w:rsidR="000C21EC" w:rsidRPr="008C53E7">
        <w:rPr>
          <w:rFonts w:ascii="Arial" w:hAnsi="Arial" w:cs="Arial"/>
          <w:sz w:val="22"/>
          <w:szCs w:val="22"/>
        </w:rPr>
        <w:t>.</w:t>
      </w:r>
    </w:p>
    <w:tbl>
      <w:tblPr>
        <w:tblW w:w="936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/>
      </w:tblPr>
      <w:tblGrid>
        <w:gridCol w:w="7073"/>
        <w:gridCol w:w="2287"/>
      </w:tblGrid>
      <w:tr w:rsidR="006C0567" w:rsidRPr="008C53E7" w:rsidTr="00D33F1E">
        <w:trPr>
          <w:tblHeader/>
          <w:tblCellSpacing w:w="21" w:type="dxa"/>
          <w:jc w:val="center"/>
        </w:trPr>
        <w:tc>
          <w:tcPr>
            <w:tcW w:w="70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0567" w:rsidRPr="008C53E7" w:rsidRDefault="006C0567" w:rsidP="00D33F1E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CEC STANDARD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0567" w:rsidRPr="008C53E7" w:rsidRDefault="006C0567" w:rsidP="00D33F1E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APPLICABLE ASSESSMENTS</w:t>
            </w:r>
          </w:p>
        </w:tc>
      </w:tr>
    </w:tbl>
    <w:p w:rsidR="00D33F1E" w:rsidRPr="008C53E7" w:rsidRDefault="00D33F1E">
      <w:pPr>
        <w:rPr>
          <w:rFonts w:ascii="Arial" w:hAnsi="Arial" w:cs="Arial"/>
        </w:rPr>
      </w:pPr>
    </w:p>
    <w:tbl>
      <w:tblPr>
        <w:tblW w:w="936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/>
      </w:tblPr>
      <w:tblGrid>
        <w:gridCol w:w="7073"/>
        <w:gridCol w:w="2287"/>
      </w:tblGrid>
      <w:tr w:rsidR="006C0567" w:rsidRPr="008C53E7" w:rsidTr="00D33F1E">
        <w:trPr>
          <w:trHeight w:val="179"/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</w:tcPr>
          <w:p w:rsidR="006C0567" w:rsidRPr="008C53E7" w:rsidRDefault="006C0567" w:rsidP="00074345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CLINICAL PRACTICE STANDARD</w:t>
            </w:r>
          </w:p>
        </w:tc>
      </w:tr>
      <w:tr w:rsidR="006C0567" w:rsidRPr="008C53E7" w:rsidTr="00D33F1E">
        <w:trPr>
          <w:trHeight w:val="620"/>
          <w:tblCellSpacing w:w="21" w:type="dxa"/>
          <w:jc w:val="center"/>
        </w:trPr>
        <w:tc>
          <w:tcPr>
            <w:tcW w:w="7010" w:type="dxa"/>
            <w:tcBorders>
              <w:bottom w:val="single" w:sz="4" w:space="0" w:color="auto"/>
            </w:tcBorders>
          </w:tcPr>
          <w:p w:rsidR="006C0567" w:rsidRPr="008C53E7" w:rsidRDefault="006C0567" w:rsidP="00074345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</w:rPr>
              <w:t xml:space="preserve">Special education candidates progress through a series of developmentally sequenced </w:t>
            </w:r>
            <w:r w:rsidR="00FF12F7" w:rsidRPr="008C53E7"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</w:rPr>
              <w:t>clinical</w:t>
            </w:r>
            <w:r w:rsidRPr="008C53E7"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</w:rPr>
              <w:t xml:space="preserve"> experiences for the full range of ages, types and levels of abilities, and collaborative opportunities that are appropriate to the license or roles for which they are preparing. </w:t>
            </w:r>
            <w:r w:rsidR="00FF12F7" w:rsidRPr="008C53E7"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</w:rPr>
              <w:t xml:space="preserve"> C</w:t>
            </w:r>
            <w:r w:rsidRPr="008C53E7"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</w:rPr>
              <w:t>linical experiences are supervised by qualified professionals.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6C0567" w:rsidRPr="008C53E7" w:rsidRDefault="006C0567" w:rsidP="000743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3E7">
              <w:rPr>
                <w:rFonts w:ascii="Arial" w:hAnsi="Arial" w:cs="Arial"/>
                <w:sz w:val="22"/>
                <w:szCs w:val="22"/>
              </w:rPr>
              <w:t>Information in Section I</w:t>
            </w:r>
          </w:p>
        </w:tc>
      </w:tr>
    </w:tbl>
    <w:p w:rsidR="00A575E8" w:rsidRPr="008C53E7" w:rsidRDefault="00A575E8">
      <w:pPr>
        <w:rPr>
          <w:rFonts w:ascii="Arial" w:hAnsi="Arial" w:cs="Arial"/>
        </w:rPr>
      </w:pPr>
    </w:p>
    <w:tbl>
      <w:tblPr>
        <w:tblStyle w:val="TableGrid"/>
        <w:tblW w:w="9360" w:type="dxa"/>
        <w:jc w:val="center"/>
        <w:tblCellSpacing w:w="21" w:type="dxa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7148"/>
        <w:gridCol w:w="2212"/>
      </w:tblGrid>
      <w:tr w:rsidR="00A575E8" w:rsidRPr="008C53E7" w:rsidTr="002D1E0E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</w:tcPr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CEC Initial Preparation Standard 1</w:t>
            </w:r>
          </w:p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53E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Learner Development and Individual Learning Differences</w:t>
            </w:r>
          </w:p>
        </w:tc>
      </w:tr>
      <w:tr w:rsidR="00014B01" w:rsidRPr="008C53E7" w:rsidTr="002D1E0E">
        <w:trPr>
          <w:tblCellSpacing w:w="21" w:type="dxa"/>
          <w:jc w:val="center"/>
        </w:trPr>
        <w:tc>
          <w:tcPr>
            <w:tcW w:w="7085" w:type="dxa"/>
          </w:tcPr>
          <w:p w:rsidR="00014B01" w:rsidRPr="008C53E7" w:rsidRDefault="00014B01" w:rsidP="00A37190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</w:rPr>
            </w:pPr>
            <w:r w:rsidRPr="008C53E7">
              <w:rPr>
                <w:rFonts w:ascii="Arial" w:hAnsi="Arial" w:cs="Arial"/>
                <w:b/>
                <w:i/>
                <w:color w:val="000000"/>
              </w:rPr>
              <w:t>Special education specialists understand educational assessment and evaluation, and possess skills in the implementation of assessment practices that minimize bias and are reliable and valid.</w:t>
            </w:r>
          </w:p>
        </w:tc>
        <w:tc>
          <w:tcPr>
            <w:tcW w:w="2149" w:type="dxa"/>
            <w:vAlign w:val="center"/>
          </w:tcPr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1       □   2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3       □   4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5       □   6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7       □   8</w:t>
            </w:r>
          </w:p>
        </w:tc>
      </w:tr>
      <w:tr w:rsidR="00014B01" w:rsidRPr="008C53E7" w:rsidTr="00A37190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  <w:vAlign w:val="center"/>
          </w:tcPr>
          <w:p w:rsidR="00014B01" w:rsidRPr="008C53E7" w:rsidRDefault="00014B01" w:rsidP="00A3719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Major Elements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FFFFFF" w:themeFill="background1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360"/>
                <w:tab w:val="left" w:pos="540"/>
              </w:tabs>
              <w:ind w:left="540" w:hanging="54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color w:val="000000"/>
                <w:szCs w:val="22"/>
              </w:rPr>
              <w:t>Special education specialists apply their knowledge and skills in minimizing bias to all stages and purposes of assessment.</w:t>
            </w:r>
          </w:p>
          <w:p w:rsidR="00014B01" w:rsidRPr="008C53E7" w:rsidRDefault="00014B01" w:rsidP="00A37190">
            <w:pPr>
              <w:pStyle w:val="ListParagraph"/>
              <w:tabs>
                <w:tab w:val="left" w:pos="540"/>
              </w:tabs>
              <w:ind w:left="54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Style w:val="CommentReference"/>
                <w:rFonts w:ascii="Arial" w:hAnsi="Arial" w:cs="Arial"/>
                <w:color w:val="000000"/>
              </w:rPr>
              <w:t>.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FFFFFF" w:themeFill="background1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360"/>
                <w:tab w:val="left" w:pos="540"/>
              </w:tabs>
              <w:ind w:left="540" w:hanging="540"/>
              <w:rPr>
                <w:rFonts w:ascii="Arial" w:hAnsi="Arial" w:cs="Arial"/>
                <w:color w:val="000000"/>
              </w:rPr>
            </w:pPr>
            <w:r w:rsidRPr="008C53E7">
              <w:rPr>
                <w:rFonts w:ascii="Arial" w:hAnsi="Arial" w:cs="Arial"/>
                <w:color w:val="000000"/>
                <w:szCs w:val="22"/>
              </w:rPr>
              <w:t>Special education specialists design and implement inquiry to evaluate the effectiveness of practices and programs, and apply their knowledge of assessment to program evaluation.</w:t>
            </w:r>
          </w:p>
        </w:tc>
      </w:tr>
    </w:tbl>
    <w:p w:rsidR="00A55F3F" w:rsidRPr="008C53E7" w:rsidRDefault="00A55F3F">
      <w:pPr>
        <w:rPr>
          <w:rFonts w:ascii="Arial" w:hAnsi="Arial" w:cs="Arial"/>
        </w:rPr>
      </w:pPr>
    </w:p>
    <w:p w:rsidR="00014B01" w:rsidRPr="008C53E7" w:rsidRDefault="00014B01">
      <w:pPr>
        <w:rPr>
          <w:rFonts w:ascii="Arial" w:hAnsi="Arial" w:cs="Arial"/>
        </w:rPr>
      </w:pPr>
    </w:p>
    <w:p w:rsidR="00014B01" w:rsidRPr="008C53E7" w:rsidRDefault="00014B01">
      <w:pPr>
        <w:rPr>
          <w:rFonts w:ascii="Arial" w:hAnsi="Arial" w:cs="Arial"/>
        </w:rPr>
      </w:pPr>
    </w:p>
    <w:tbl>
      <w:tblPr>
        <w:tblStyle w:val="TableGrid"/>
        <w:tblW w:w="9360" w:type="dxa"/>
        <w:jc w:val="center"/>
        <w:tblCellSpacing w:w="21" w:type="dxa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7148"/>
        <w:gridCol w:w="2212"/>
      </w:tblGrid>
      <w:tr w:rsidR="00A575E8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</w:tcPr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CEC Initial Preparation Standard 2 </w:t>
            </w:r>
          </w:p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Learning Environments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7085" w:type="dxa"/>
          </w:tcPr>
          <w:p w:rsidR="00014B01" w:rsidRPr="008C53E7" w:rsidRDefault="00014B01" w:rsidP="00A37190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b/>
                <w:i/>
                <w:strike/>
                <w:color w:val="000000"/>
              </w:rPr>
            </w:pPr>
            <w:r w:rsidRPr="008C53E7">
              <w:rPr>
                <w:rFonts w:ascii="Arial" w:hAnsi="Arial" w:cs="Arial"/>
                <w:b/>
                <w:i/>
                <w:color w:val="000000"/>
              </w:rPr>
              <w:t>Special education specialists use their knowledge of general and specialized curricula content to improve supports and services at classroom, school, and system levels.</w:t>
            </w:r>
          </w:p>
        </w:tc>
        <w:tc>
          <w:tcPr>
            <w:tcW w:w="2149" w:type="dxa"/>
            <w:vAlign w:val="center"/>
          </w:tcPr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1       □   2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3       □   4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5       □   6</w:t>
            </w:r>
          </w:p>
          <w:p w:rsidR="00014B01" w:rsidRPr="008C53E7" w:rsidRDefault="00014B01" w:rsidP="00074345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7       □   8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  <w:vAlign w:val="center"/>
          </w:tcPr>
          <w:p w:rsidR="00014B01" w:rsidRPr="008C53E7" w:rsidRDefault="00014B01" w:rsidP="00A55F3F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Major Elements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9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color w:val="000000"/>
              </w:rPr>
            </w:pPr>
            <w:r w:rsidRPr="008C53E7">
              <w:rPr>
                <w:rFonts w:ascii="Arial" w:hAnsi="Arial" w:cs="Arial"/>
                <w:color w:val="000000"/>
                <w:szCs w:val="22"/>
              </w:rPr>
              <w:t>Special education specialists d</w:t>
            </w:r>
            <w:r w:rsidRPr="008C53E7">
              <w:rPr>
                <w:rFonts w:ascii="Arial" w:hAnsi="Arial" w:cs="Arial"/>
                <w:color w:val="000000"/>
              </w:rPr>
              <w:t>evelop and implement comprehensive, cohesive curricula across instructional settings so that individuals with exceptionalities have access to challenging content and learning activities.</w:t>
            </w:r>
            <w:r w:rsidRPr="008C53E7">
              <w:rPr>
                <w:rFonts w:ascii="Arial" w:hAnsi="Arial" w:cs="Arial"/>
                <w:strike/>
                <w:color w:val="000000"/>
              </w:rPr>
              <w:t xml:space="preserve">  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9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strike/>
                <w:color w:val="000000"/>
              </w:rPr>
            </w:pPr>
            <w:r w:rsidRPr="008C53E7">
              <w:rPr>
                <w:rFonts w:ascii="Arial" w:hAnsi="Arial" w:cs="Arial"/>
                <w:color w:val="000000"/>
                <w:szCs w:val="22"/>
              </w:rPr>
              <w:t xml:space="preserve">Special education specialists use their understanding of diversity and individual learning differences to inform the development and implementation of comprehensive curricula for individuals with exceptionalities.  </w:t>
            </w:r>
          </w:p>
        </w:tc>
      </w:tr>
      <w:tr w:rsidR="00014B01" w:rsidRPr="008C53E7" w:rsidTr="008C53E7">
        <w:trPr>
          <w:trHeight w:val="13"/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9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color w:val="000000"/>
              </w:rPr>
            </w:pPr>
            <w:r w:rsidRPr="008C53E7">
              <w:rPr>
                <w:rFonts w:ascii="Arial" w:hAnsi="Arial" w:cs="Arial"/>
                <w:color w:val="000000"/>
                <w:szCs w:val="22"/>
              </w:rPr>
              <w:t>Special education specialists coordinate educational standards across curriculum domains to address the needs of individuals with exceptionalities.</w:t>
            </w:r>
          </w:p>
        </w:tc>
      </w:tr>
    </w:tbl>
    <w:p w:rsidR="00A55F3F" w:rsidRPr="008C53E7" w:rsidRDefault="00A55F3F">
      <w:pPr>
        <w:rPr>
          <w:rFonts w:ascii="Arial" w:hAnsi="Arial" w:cs="Arial"/>
        </w:rPr>
      </w:pPr>
    </w:p>
    <w:tbl>
      <w:tblPr>
        <w:tblStyle w:val="TableGrid"/>
        <w:tblW w:w="9360" w:type="dxa"/>
        <w:jc w:val="center"/>
        <w:tblCellSpacing w:w="21" w:type="dxa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7155"/>
        <w:gridCol w:w="2205"/>
      </w:tblGrid>
      <w:tr w:rsidR="00A575E8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</w:tcPr>
          <w:p w:rsidR="00A575E8" w:rsidRPr="008C53E7" w:rsidRDefault="00A575E8" w:rsidP="00A55F3F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CEC Initial Preparation Standard 3 </w:t>
            </w:r>
          </w:p>
          <w:p w:rsidR="00A575E8" w:rsidRPr="008C53E7" w:rsidRDefault="00A575E8" w:rsidP="00A55F3F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Curricular Content Knowledge</w:t>
            </w:r>
          </w:p>
        </w:tc>
      </w:tr>
      <w:tr w:rsidR="00014B01" w:rsidRPr="008C53E7" w:rsidTr="00014B01">
        <w:trPr>
          <w:trHeight w:val="466"/>
          <w:tblCellSpacing w:w="21" w:type="dxa"/>
          <w:jc w:val="center"/>
        </w:trPr>
        <w:tc>
          <w:tcPr>
            <w:tcW w:w="7092" w:type="dxa"/>
          </w:tcPr>
          <w:p w:rsidR="00014B01" w:rsidRPr="008C53E7" w:rsidRDefault="00014B01" w:rsidP="00A37190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</w:rPr>
            </w:pPr>
            <w:r w:rsidRPr="008C53E7">
              <w:rPr>
                <w:rFonts w:ascii="Arial" w:hAnsi="Arial" w:cs="Arial"/>
                <w:b/>
                <w:i/>
                <w:color w:val="000000"/>
              </w:rPr>
              <w:t>Special education specialists facilitate the continuous improvement of general and special education supports and services at the classroom, school, and system levels for individuals with exceptionalities.</w:t>
            </w:r>
          </w:p>
        </w:tc>
        <w:tc>
          <w:tcPr>
            <w:tcW w:w="2142" w:type="dxa"/>
            <w:vAlign w:val="center"/>
          </w:tcPr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1       □   2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3       □   4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5       □   6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7       □   8</w:t>
            </w:r>
          </w:p>
        </w:tc>
      </w:tr>
      <w:tr w:rsidR="00FC3219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  <w:vAlign w:val="center"/>
          </w:tcPr>
          <w:p w:rsidR="00FC3219" w:rsidRPr="008C53E7" w:rsidRDefault="00FC3219" w:rsidP="00A55F3F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Major Elements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1"/>
                <w:numId w:val="10"/>
              </w:numPr>
              <w:ind w:left="540" w:hanging="540"/>
              <w:rPr>
                <w:rFonts w:ascii="Arial" w:hAnsi="Arial" w:cs="Arial"/>
                <w:color w:val="000000"/>
                <w:szCs w:val="20"/>
              </w:rPr>
            </w:pPr>
            <w:r w:rsidRPr="008C53E7">
              <w:rPr>
                <w:rFonts w:ascii="Arial" w:hAnsi="Arial" w:cs="Arial"/>
                <w:color w:val="000000"/>
                <w:szCs w:val="22"/>
              </w:rPr>
              <w:t>Special education specialists design and implement procedures that minimize bias in evaluating and continuously improving supports and services for individuals with exceptionalities.</w:t>
            </w:r>
          </w:p>
        </w:tc>
      </w:tr>
      <w:tr w:rsidR="00014B01" w:rsidRPr="008C53E7" w:rsidTr="00014B01">
        <w:trPr>
          <w:trHeight w:val="781"/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1"/>
                <w:numId w:val="10"/>
              </w:numPr>
              <w:ind w:left="540" w:hanging="54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color w:val="000000"/>
                <w:szCs w:val="22"/>
              </w:rPr>
              <w:t xml:space="preserve">Special education specialists use </w:t>
            </w: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their</w:t>
            </w:r>
            <w:r w:rsidRPr="008C53E7">
              <w:rPr>
                <w:rFonts w:ascii="Arial" w:hAnsi="Arial" w:cs="Arial"/>
                <w:color w:val="000000"/>
                <w:szCs w:val="22"/>
              </w:rPr>
              <w:t xml:space="preserve"> understanding </w:t>
            </w: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 xml:space="preserve">of cultural, social, and economic diversity and variations of individual development </w:t>
            </w:r>
            <w:r w:rsidRPr="008C53E7">
              <w:rPr>
                <w:rFonts w:ascii="Arial" w:hAnsi="Arial" w:cs="Arial"/>
                <w:color w:val="000000"/>
                <w:szCs w:val="22"/>
              </w:rPr>
              <w:t>to inform the development and improvement of supports and services for individuals with exceptionalities.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1"/>
                <w:numId w:val="10"/>
              </w:numPr>
              <w:ind w:left="540" w:hanging="540"/>
              <w:rPr>
                <w:rFonts w:ascii="Arial" w:hAnsi="Arial" w:cs="Arial"/>
                <w:color w:val="000000"/>
              </w:rPr>
            </w:pPr>
            <w:r w:rsidRPr="008C53E7">
              <w:rPr>
                <w:rFonts w:ascii="Arial" w:hAnsi="Arial" w:cs="Arial"/>
                <w:color w:val="000000"/>
                <w:szCs w:val="20"/>
              </w:rPr>
              <w:t xml:space="preserve">Special education specialists apply their knowledge of theories, evidence-based </w:t>
            </w:r>
            <w:r w:rsidRPr="008C53E7">
              <w:rPr>
                <w:rFonts w:ascii="Arial" w:hAnsi="Arial" w:cs="Arial"/>
                <w:bCs/>
                <w:color w:val="000000"/>
                <w:szCs w:val="20"/>
              </w:rPr>
              <w:t xml:space="preserve">practices, and </w:t>
            </w:r>
            <w:r w:rsidRPr="008C53E7">
              <w:rPr>
                <w:rFonts w:ascii="Arial" w:hAnsi="Arial" w:cs="Arial"/>
                <w:color w:val="000000"/>
                <w:szCs w:val="20"/>
              </w:rPr>
              <w:t xml:space="preserve">relevant </w:t>
            </w:r>
            <w:r w:rsidRPr="008C53E7">
              <w:rPr>
                <w:rFonts w:ascii="Arial" w:hAnsi="Arial" w:cs="Arial"/>
                <w:bCs/>
                <w:color w:val="000000"/>
                <w:szCs w:val="20"/>
              </w:rPr>
              <w:t xml:space="preserve">laws to advocate for appropriate instructional supports and services </w:t>
            </w: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for individuals with exceptionalities.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1"/>
                <w:numId w:val="10"/>
              </w:numPr>
              <w:ind w:left="540" w:hanging="540"/>
              <w:rPr>
                <w:rFonts w:ascii="Arial" w:hAnsi="Arial" w:cs="Arial"/>
                <w:color w:val="000000"/>
              </w:rPr>
            </w:pPr>
            <w:r w:rsidRPr="008C53E7">
              <w:rPr>
                <w:rFonts w:ascii="Arial" w:hAnsi="Arial" w:cs="Arial"/>
                <w:color w:val="000000"/>
                <w:szCs w:val="22"/>
              </w:rPr>
              <w:t>Special education specialists</w:t>
            </w: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 xml:space="preserve"> use skills with instructional and assistive technologies to improve supports and services for individuals with exceptionalities.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1"/>
                <w:numId w:val="10"/>
              </w:numPr>
              <w:ind w:left="540" w:hanging="540"/>
              <w:rPr>
                <w:rFonts w:ascii="Arial" w:hAnsi="Arial" w:cs="Arial"/>
                <w:color w:val="000000"/>
              </w:rPr>
            </w:pPr>
            <w:r w:rsidRPr="008C53E7">
              <w:rPr>
                <w:rFonts w:ascii="Arial" w:hAnsi="Arial" w:cs="Arial"/>
                <w:color w:val="000000"/>
                <w:szCs w:val="22"/>
              </w:rPr>
              <w:t>Special education specialists apply their knowledge of program evaluation to assess progress toward the system’s vision, mission, and goals of their programs.</w:t>
            </w:r>
          </w:p>
        </w:tc>
      </w:tr>
    </w:tbl>
    <w:p w:rsidR="00A575E8" w:rsidRPr="008C53E7" w:rsidRDefault="00A575E8">
      <w:pPr>
        <w:rPr>
          <w:rFonts w:ascii="Arial" w:hAnsi="Arial" w:cs="Arial"/>
        </w:rPr>
      </w:pPr>
    </w:p>
    <w:tbl>
      <w:tblPr>
        <w:tblStyle w:val="TableGrid"/>
        <w:tblW w:w="9360" w:type="dxa"/>
        <w:jc w:val="center"/>
        <w:tblCellSpacing w:w="21" w:type="dxa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7148"/>
        <w:gridCol w:w="2212"/>
      </w:tblGrid>
      <w:tr w:rsidR="00A575E8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</w:tcPr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CEC Initial Preparation Standard 4 </w:t>
            </w:r>
          </w:p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Assessment</w:t>
            </w:r>
          </w:p>
        </w:tc>
      </w:tr>
      <w:tr w:rsidR="00014B01" w:rsidRPr="008C53E7" w:rsidTr="00014B01">
        <w:trPr>
          <w:trHeight w:val="826"/>
          <w:tblCellSpacing w:w="21" w:type="dxa"/>
          <w:jc w:val="center"/>
        </w:trPr>
        <w:tc>
          <w:tcPr>
            <w:tcW w:w="7085" w:type="dxa"/>
          </w:tcPr>
          <w:p w:rsidR="00014B01" w:rsidRPr="008C53E7" w:rsidRDefault="00014B01" w:rsidP="00A37190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</w:rPr>
            </w:pPr>
            <w:r w:rsidRPr="008C53E7">
              <w:rPr>
                <w:rFonts w:ascii="Arial" w:hAnsi="Arial" w:cs="Arial"/>
                <w:b/>
                <w:i/>
                <w:color w:val="000000"/>
              </w:rPr>
              <w:t>Special education specialists conduct, evaluate, and use inquiry to guide professional practice.</w:t>
            </w:r>
          </w:p>
        </w:tc>
        <w:tc>
          <w:tcPr>
            <w:tcW w:w="2149" w:type="dxa"/>
            <w:vAlign w:val="center"/>
          </w:tcPr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1       □   2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3       □   4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5       □   6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7       □   8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  <w:vAlign w:val="center"/>
          </w:tcPr>
          <w:p w:rsidR="00014B01" w:rsidRPr="008C53E7" w:rsidRDefault="00014B01" w:rsidP="00A55F3F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Major Elements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1"/>
              </w:numPr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 xml:space="preserve">Special education specialists can identify effective practices and evaluate research related to these practices.  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1"/>
              </w:numPr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use their knowledge of research to improve professional practices with individuals with exceptionalities.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1"/>
              </w:numPr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engage in the design and implementation of action research and foster an environment that is supportive of continuous instructional improvement.</w:t>
            </w:r>
          </w:p>
        </w:tc>
      </w:tr>
    </w:tbl>
    <w:p w:rsidR="00A55F3F" w:rsidRPr="008C53E7" w:rsidRDefault="00A55F3F" w:rsidP="00350FFF">
      <w:pPr>
        <w:rPr>
          <w:rFonts w:ascii="Arial" w:hAnsi="Arial" w:cs="Arial"/>
        </w:rPr>
      </w:pPr>
    </w:p>
    <w:tbl>
      <w:tblPr>
        <w:tblStyle w:val="TableGrid"/>
        <w:tblW w:w="9360" w:type="dxa"/>
        <w:jc w:val="center"/>
        <w:tblCellSpacing w:w="21" w:type="dxa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7155"/>
        <w:gridCol w:w="2205"/>
      </w:tblGrid>
      <w:tr w:rsidR="00A575E8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</w:tcPr>
          <w:p w:rsidR="00A575E8" w:rsidRPr="008C53E7" w:rsidRDefault="00A575E8" w:rsidP="00A55F3F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CEC Initial Preparation Standard 5 </w:t>
            </w:r>
          </w:p>
          <w:p w:rsidR="00A575E8" w:rsidRPr="008C53E7" w:rsidRDefault="00A575E8" w:rsidP="00A55F3F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Instructional Planning and Strategies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7092" w:type="dxa"/>
          </w:tcPr>
          <w:p w:rsidR="00014B01" w:rsidRPr="008C53E7" w:rsidRDefault="00014B01" w:rsidP="00A37190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8C53E7">
              <w:rPr>
                <w:rFonts w:ascii="Arial" w:hAnsi="Arial" w:cs="Arial"/>
                <w:b/>
                <w:i/>
                <w:color w:val="000000"/>
              </w:rPr>
              <w:t xml:space="preserve">Special education specialists provide leadership to formulate goals, set and meet high professional expectations, </w:t>
            </w:r>
            <w:r w:rsidRPr="008C53E7">
              <w:rPr>
                <w:rFonts w:ascii="Arial" w:hAnsi="Arial" w:cs="Arial"/>
                <w:b/>
                <w:bCs/>
                <w:i/>
                <w:color w:val="000000"/>
                <w:szCs w:val="22"/>
              </w:rPr>
              <w:t>advocate for</w:t>
            </w: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 xml:space="preserve"> </w:t>
            </w:r>
            <w:r w:rsidRPr="008C53E7">
              <w:rPr>
                <w:rFonts w:ascii="Arial" w:hAnsi="Arial" w:cs="Arial"/>
                <w:b/>
                <w:bCs/>
                <w:i/>
                <w:color w:val="000000"/>
                <w:szCs w:val="22"/>
              </w:rPr>
              <w:t>evidence-based policies and practices</w:t>
            </w:r>
            <w:r w:rsidRPr="008C53E7">
              <w:rPr>
                <w:rFonts w:ascii="Arial" w:hAnsi="Arial" w:cs="Arial"/>
                <w:b/>
                <w:bCs/>
                <w:i/>
                <w:color w:val="000000"/>
              </w:rPr>
              <w:t>, and create positive and productive work environments.</w:t>
            </w:r>
          </w:p>
        </w:tc>
        <w:tc>
          <w:tcPr>
            <w:tcW w:w="2142" w:type="dxa"/>
            <w:vAlign w:val="center"/>
          </w:tcPr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1       □   2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3       □   4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5       □   6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7       □   8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  <w:vAlign w:val="center"/>
          </w:tcPr>
          <w:p w:rsidR="00014B01" w:rsidRPr="008C53E7" w:rsidRDefault="00014B01" w:rsidP="001C70C8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Major Elements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2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use a deep understanding of the history of special education, legal policies, ethical standards, and emerging issues to inform their leadership.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2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model respect for all individuals and encourage pursuing challenging expectations for individuals with exceptionalities.</w:t>
            </w:r>
          </w:p>
        </w:tc>
      </w:tr>
      <w:tr w:rsidR="00014B01" w:rsidRPr="008C53E7" w:rsidDel="00FD5402" w:rsidTr="00350FFF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2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use their knowledge of different groups and cultures to support linguistically and culturally responsive practices.</w:t>
            </w:r>
          </w:p>
        </w:tc>
      </w:tr>
      <w:tr w:rsidR="00014B01" w:rsidRPr="008C53E7" w:rsidDel="00FD5402" w:rsidTr="00350FFF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2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create and maintain collegial and productive work environments that respect and safeguard the rights of individuals with exceptionalities and their families.</w:t>
            </w:r>
          </w:p>
        </w:tc>
      </w:tr>
      <w:tr w:rsidR="00014B01" w:rsidRPr="008C53E7" w:rsidTr="00350FFF">
        <w:trPr>
          <w:trHeight w:val="448"/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2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advocate for policies and practices that improve services and outcomes for individuals with exceptionalities.</w:t>
            </w:r>
          </w:p>
        </w:tc>
      </w:tr>
      <w:tr w:rsidR="00014B01" w:rsidRPr="008C53E7" w:rsidTr="002520A0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2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 xml:space="preserve">Special education specialists promote the provision of </w:t>
            </w:r>
            <w:r w:rsidRPr="008C53E7">
              <w:rPr>
                <w:rFonts w:ascii="Arial" w:hAnsi="Arial" w:cs="Arial"/>
                <w:color w:val="000000"/>
                <w:szCs w:val="22"/>
              </w:rPr>
              <w:t xml:space="preserve">appropriate resources so that all personnel have effective preparation to support </w:t>
            </w: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professional growth.</w:t>
            </w:r>
          </w:p>
        </w:tc>
      </w:tr>
    </w:tbl>
    <w:p w:rsidR="00350FFF" w:rsidRPr="008C53E7" w:rsidRDefault="00350FFF">
      <w:pPr>
        <w:rPr>
          <w:rFonts w:ascii="Arial" w:hAnsi="Arial" w:cs="Arial"/>
        </w:rPr>
      </w:pPr>
    </w:p>
    <w:tbl>
      <w:tblPr>
        <w:tblStyle w:val="TableGrid"/>
        <w:tblW w:w="9360" w:type="dxa"/>
        <w:jc w:val="center"/>
        <w:tblCellSpacing w:w="21" w:type="dxa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7155"/>
        <w:gridCol w:w="2205"/>
      </w:tblGrid>
      <w:tr w:rsidR="00A575E8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</w:tcPr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CEC Initial Preparation Standard 6 </w:t>
            </w:r>
          </w:p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Professional Learning and Ethical Practice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7092" w:type="dxa"/>
          </w:tcPr>
          <w:p w:rsidR="00014B01" w:rsidRPr="008C53E7" w:rsidRDefault="00014B01" w:rsidP="00A37190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</w:rPr>
            </w:pPr>
            <w:r w:rsidRPr="008C53E7">
              <w:rPr>
                <w:rFonts w:ascii="Arial" w:hAnsi="Arial" w:cs="Arial"/>
                <w:b/>
                <w:i/>
                <w:color w:val="000000"/>
              </w:rPr>
              <w:t>Special education specialists use foundational knowledge of the field</w:t>
            </w:r>
            <w:r w:rsidRPr="008C53E7">
              <w:rPr>
                <w:rFonts w:ascii="Arial" w:hAnsi="Arial" w:cs="Arial"/>
                <w:b/>
                <w:bCs/>
                <w:i/>
                <w:color w:val="000000"/>
              </w:rPr>
              <w:t xml:space="preserve"> and</w:t>
            </w:r>
            <w:r w:rsidRPr="008C53E7">
              <w:rPr>
                <w:rFonts w:ascii="Arial" w:hAnsi="Arial" w:cs="Arial"/>
                <w:b/>
                <w:i/>
                <w:color w:val="000000"/>
              </w:rPr>
              <w:t xml:space="preserve"> the profession’s ethical principles and practice standards to inform their special education practice, engage in </w:t>
            </w:r>
            <w:r w:rsidRPr="008C53E7">
              <w:rPr>
                <w:rFonts w:ascii="Arial" w:hAnsi="Arial" w:cs="Arial"/>
                <w:b/>
                <w:bCs/>
                <w:i/>
                <w:color w:val="000000"/>
              </w:rPr>
              <w:t>lifelong learning,</w:t>
            </w:r>
            <w:r w:rsidRPr="008C53E7">
              <w:rPr>
                <w:rFonts w:ascii="Arial" w:hAnsi="Arial" w:cs="Arial"/>
                <w:b/>
                <w:i/>
                <w:color w:val="000000"/>
              </w:rPr>
              <w:t xml:space="preserve"> advance the profession, and have leadership responsibilities for promoting the success of professional colleagues, individuals with exceptionalities, and their families.</w:t>
            </w:r>
          </w:p>
        </w:tc>
        <w:tc>
          <w:tcPr>
            <w:tcW w:w="2142" w:type="dxa"/>
            <w:vAlign w:val="center"/>
          </w:tcPr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1       □   2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3       □   4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5       □   6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7       □   8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  <w:vAlign w:val="center"/>
          </w:tcPr>
          <w:p w:rsidR="00014B01" w:rsidRPr="008C53E7" w:rsidRDefault="00014B01" w:rsidP="00A55F3F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Major Elements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3"/>
              </w:numPr>
              <w:tabs>
                <w:tab w:val="clear" w:pos="450"/>
              </w:tabs>
              <w:ind w:left="630" w:hanging="54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model high professional expectations and ethical practice, and create supportive environments that safeguard the legal rights of individuals with exceptionalities and their families.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3"/>
              </w:numPr>
              <w:tabs>
                <w:tab w:val="clear" w:pos="450"/>
              </w:tabs>
              <w:ind w:left="630" w:hanging="54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model and promote respect for all individuals with exceptionalities</w:t>
            </w:r>
            <w:proofErr w:type="gramStart"/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? and</w:t>
            </w:r>
            <w:proofErr w:type="gramEnd"/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 xml:space="preserve"> facilitate ethical professional practice.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3"/>
              </w:numPr>
              <w:tabs>
                <w:tab w:val="clear" w:pos="450"/>
              </w:tabs>
              <w:ind w:left="630" w:hanging="54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continuously broaden and deepen their professional knowledge and expertise by actively participating in professional development and professional communities.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3"/>
              </w:numPr>
              <w:tabs>
                <w:tab w:val="clear" w:pos="450"/>
              </w:tabs>
              <w:ind w:left="630" w:hanging="54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plan, present, and evaluate professional development focusing on effective practice at all organizational levels.</w:t>
            </w:r>
          </w:p>
        </w:tc>
      </w:tr>
      <w:tr w:rsidR="00014B01" w:rsidRPr="008C53E7" w:rsidTr="00350FFF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3"/>
              </w:numPr>
              <w:tabs>
                <w:tab w:val="clear" w:pos="450"/>
              </w:tabs>
              <w:ind w:left="630" w:hanging="54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actively facilitate the preparation of prospective special educators with</w:t>
            </w:r>
            <w:r w:rsidRPr="008C53E7">
              <w:rPr>
                <w:rFonts w:ascii="Arial" w:hAnsi="Arial" w:cs="Arial"/>
                <w:color w:val="000000"/>
              </w:rPr>
              <w:t xml:space="preserve"> their induction into special education.</w:t>
            </w:r>
          </w:p>
        </w:tc>
      </w:tr>
    </w:tbl>
    <w:p w:rsidR="00A575E8" w:rsidRPr="008C53E7" w:rsidRDefault="00A575E8" w:rsidP="00FC0E8C">
      <w:pPr>
        <w:rPr>
          <w:rFonts w:ascii="Arial" w:hAnsi="Arial" w:cs="Arial"/>
        </w:rPr>
      </w:pPr>
    </w:p>
    <w:tbl>
      <w:tblPr>
        <w:tblStyle w:val="TableGrid"/>
        <w:tblW w:w="9360" w:type="dxa"/>
        <w:jc w:val="center"/>
        <w:tblCellSpacing w:w="21" w:type="dxa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7148"/>
        <w:gridCol w:w="2212"/>
      </w:tblGrid>
      <w:tr w:rsidR="00A575E8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</w:tcPr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CEC Initial Preparation Standard 7 </w:t>
            </w:r>
          </w:p>
          <w:p w:rsidR="00A575E8" w:rsidRPr="008C53E7" w:rsidRDefault="00A575E8" w:rsidP="00A575E8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Collaboration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7085" w:type="dxa"/>
          </w:tcPr>
          <w:p w:rsidR="00014B01" w:rsidRPr="008C53E7" w:rsidRDefault="00014B01" w:rsidP="00A37190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</w:rPr>
            </w:pPr>
            <w:r w:rsidRPr="008C53E7">
              <w:rPr>
                <w:rFonts w:ascii="Arial" w:hAnsi="Arial" w:cs="Arial"/>
                <w:b/>
                <w:i/>
                <w:color w:val="000000"/>
              </w:rPr>
              <w:t>Special education specialists apply their consultative and collaborative skills among both internal and external stakeholders to improve outcomes and services for individuals with exceptionalities and their families.</w:t>
            </w:r>
          </w:p>
        </w:tc>
        <w:tc>
          <w:tcPr>
            <w:tcW w:w="2149" w:type="dxa"/>
            <w:vAlign w:val="center"/>
          </w:tcPr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1       □   2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3       □   4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5       □   6</w:t>
            </w:r>
          </w:p>
          <w:p w:rsidR="00014B01" w:rsidRPr="008C53E7" w:rsidRDefault="00014B01" w:rsidP="00074345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</w:rPr>
            </w:pPr>
            <w:r w:rsidRPr="008C53E7">
              <w:rPr>
                <w:rFonts w:ascii="Arial" w:hAnsi="Arial" w:cs="Arial"/>
                <w:bCs/>
                <w:color w:val="000000" w:themeColor="text1"/>
                <w:sz w:val="22"/>
              </w:rPr>
              <w:t>□   7       □   8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shd w:val="clear" w:color="auto" w:fill="BFBFBF" w:themeFill="background1" w:themeFillShade="BF"/>
            <w:vAlign w:val="center"/>
          </w:tcPr>
          <w:p w:rsidR="00014B01" w:rsidRPr="008C53E7" w:rsidRDefault="00014B01" w:rsidP="00A55F3F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8C53E7">
              <w:rPr>
                <w:rFonts w:ascii="Arial" w:hAnsi="Arial" w:cs="Arial"/>
                <w:b/>
                <w:color w:val="000000" w:themeColor="text1"/>
                <w:szCs w:val="20"/>
              </w:rPr>
              <w:t>Major Elements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4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have a thorough understanding of the importance of collaboration and use this knowledge to improve outcomes and services for individuals with exceptionalities.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4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use collaboration among professionals to improve services and outcomes services for individuals with exceptionalities.</w:t>
            </w:r>
          </w:p>
        </w:tc>
      </w:tr>
      <w:tr w:rsidR="00014B01" w:rsidRPr="008C53E7" w:rsidTr="00014B01">
        <w:trPr>
          <w:tblCellSpacing w:w="21" w:type="dxa"/>
          <w:jc w:val="center"/>
        </w:trPr>
        <w:tc>
          <w:tcPr>
            <w:tcW w:w="9276" w:type="dxa"/>
            <w:gridSpan w:val="2"/>
            <w:vAlign w:val="center"/>
          </w:tcPr>
          <w:p w:rsidR="00014B01" w:rsidRPr="008C53E7" w:rsidRDefault="00014B01" w:rsidP="00014B01">
            <w:pPr>
              <w:pStyle w:val="ListParagraph"/>
              <w:numPr>
                <w:ilvl w:val="0"/>
                <w:numId w:val="14"/>
              </w:numPr>
              <w:tabs>
                <w:tab w:val="clear" w:pos="450"/>
              </w:tabs>
              <w:ind w:left="540" w:hanging="450"/>
              <w:rPr>
                <w:rFonts w:ascii="Arial" w:hAnsi="Arial" w:cs="Arial"/>
                <w:bCs/>
                <w:color w:val="000000"/>
              </w:rPr>
            </w:pPr>
            <w:r w:rsidRPr="008C53E7">
              <w:rPr>
                <w:rFonts w:ascii="Arial" w:hAnsi="Arial" w:cs="Arial"/>
                <w:bCs/>
                <w:color w:val="000000"/>
                <w:szCs w:val="22"/>
              </w:rPr>
              <w:t>Special education specialists use their understanding diversity to enhance collaboration.</w:t>
            </w:r>
          </w:p>
        </w:tc>
      </w:tr>
    </w:tbl>
    <w:p w:rsidR="004B5247" w:rsidRPr="008C53E7" w:rsidRDefault="004B5247" w:rsidP="001E4871">
      <w:pPr>
        <w:rPr>
          <w:rFonts w:ascii="Arial" w:hAnsi="Arial" w:cs="Arial"/>
        </w:rPr>
      </w:pPr>
    </w:p>
    <w:sectPr w:rsidR="004B5247" w:rsidRPr="008C53E7" w:rsidSect="002C59B4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5E8" w:rsidRDefault="00A575E8">
      <w:r>
        <w:separator/>
      </w:r>
    </w:p>
  </w:endnote>
  <w:endnote w:type="continuationSeparator" w:id="0">
    <w:p w:rsidR="00A575E8" w:rsidRDefault="00A57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5E8" w:rsidRDefault="00A575E8">
      <w:r>
        <w:separator/>
      </w:r>
    </w:p>
  </w:footnote>
  <w:footnote w:type="continuationSeparator" w:id="0">
    <w:p w:rsidR="00A575E8" w:rsidRDefault="00A57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E8" w:rsidRDefault="00A61E99" w:rsidP="005E680A">
    <w:pPr>
      <w:pStyle w:val="Header"/>
      <w:jc w:val="right"/>
      <w:rPr>
        <w:rFonts w:ascii="Arial" w:hAnsi="Arial" w:cs="Arial"/>
        <w:sz w:val="18"/>
      </w:rPr>
    </w:pPr>
    <w:fldSimple w:instr=" FILENAME   \* MERGEFORMAT ">
      <w:r w:rsidR="00936F44" w:rsidRPr="00936F44">
        <w:rPr>
          <w:rFonts w:ascii="Arial" w:hAnsi="Arial" w:cs="Arial"/>
          <w:noProof/>
          <w:sz w:val="18"/>
        </w:rPr>
        <w:t>2.2a Report Section III Assessments &amp; Alignment to</w:t>
      </w:r>
      <w:r w:rsidR="00936F44">
        <w:rPr>
          <w:noProof/>
        </w:rPr>
        <w:t xml:space="preserve"> Revised ADVANCED CEC Standards</w:t>
      </w:r>
    </w:fldSimple>
  </w:p>
  <w:p w:rsidR="00A575E8" w:rsidRDefault="00A61E99" w:rsidP="005E680A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 w:rsidR="00A575E8">
      <w:rPr>
        <w:rFonts w:ascii="Arial" w:hAnsi="Arial" w:cs="Arial"/>
        <w:sz w:val="18"/>
      </w:rPr>
      <w:instrText xml:space="preserve"> PAGE   \* MERGEFORMAT </w:instrText>
    </w:r>
    <w:r>
      <w:rPr>
        <w:rFonts w:ascii="Arial" w:hAnsi="Arial" w:cs="Arial"/>
        <w:sz w:val="18"/>
      </w:rPr>
      <w:fldChar w:fldCharType="separate"/>
    </w:r>
    <w:r w:rsidR="00936F44">
      <w:rPr>
        <w:rFonts w:ascii="Arial" w:hAnsi="Arial" w:cs="Arial"/>
        <w:noProof/>
        <w:sz w:val="18"/>
      </w:rPr>
      <w:t>3</w:t>
    </w:r>
    <w:r>
      <w:rPr>
        <w:rFonts w:ascii="Arial" w:hAnsi="Arial" w:cs="Arial"/>
        <w:sz w:val="18"/>
      </w:rPr>
      <w:fldChar w:fldCharType="end"/>
    </w:r>
  </w:p>
  <w:p w:rsidR="00A575E8" w:rsidRDefault="00A575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E8" w:rsidRPr="00FC0ED2" w:rsidRDefault="00A575E8" w:rsidP="001E4871">
    <w:pPr>
      <w:pStyle w:val="Header"/>
      <w:rPr>
        <w:rFonts w:ascii="Calibri" w:hAnsi="Calibri"/>
        <w:sz w:val="16"/>
        <w:szCs w:val="16"/>
      </w:rPr>
    </w:pPr>
    <w:smartTag w:uri="urn:schemas-microsoft-com:office:smarttags" w:element="place">
      <w:smartTag w:uri="urn:schemas-microsoft-com:office:smarttags" w:element="PlaceName">
        <w:r w:rsidRPr="00622CB9">
          <w:rPr>
            <w:rFonts w:ascii="Calibri" w:hAnsi="Calibri"/>
            <w:b/>
            <w:sz w:val="16"/>
            <w:szCs w:val="16"/>
          </w:rPr>
          <w:t>Delt</w:t>
        </w:r>
        <w:r w:rsidRPr="00FC0ED2">
          <w:rPr>
            <w:rFonts w:ascii="Calibri" w:hAnsi="Calibri"/>
            <w:sz w:val="16"/>
            <w:szCs w:val="16"/>
          </w:rPr>
          <w:t>a</w:t>
        </w:r>
      </w:smartTag>
      <w:r w:rsidRPr="00FC0ED2">
        <w:rPr>
          <w:rFonts w:ascii="Calibri" w:hAnsi="Calibri"/>
          <w:sz w:val="16"/>
          <w:szCs w:val="16"/>
        </w:rPr>
        <w:t xml:space="preserve"> </w:t>
      </w:r>
      <w:smartTag w:uri="urn:schemas-microsoft-com:office:smarttags" w:element="PlaceType">
        <w:r w:rsidRPr="00FC0ED2">
          <w:rPr>
            <w:rFonts w:ascii="Calibri" w:hAnsi="Calibri"/>
            <w:sz w:val="16"/>
            <w:szCs w:val="16"/>
          </w:rPr>
          <w:t>State</w:t>
        </w:r>
      </w:smartTag>
      <w:r w:rsidRPr="00FC0ED2">
        <w:rPr>
          <w:rFonts w:ascii="Calibri" w:hAnsi="Calibri"/>
          <w:sz w:val="16"/>
          <w:szCs w:val="16"/>
        </w:rPr>
        <w:t xml:space="preserve"> </w:t>
      </w:r>
      <w:smartTag w:uri="urn:schemas-microsoft-com:office:smarttags" w:element="PlaceType">
        <w:r w:rsidRPr="00FC0ED2">
          <w:rPr>
            <w:rFonts w:ascii="Calibri" w:hAnsi="Calibri"/>
            <w:sz w:val="16"/>
            <w:szCs w:val="16"/>
          </w:rPr>
          <w:t>University</w:t>
        </w:r>
      </w:smartTag>
    </w:smartTag>
  </w:p>
  <w:p w:rsidR="00A575E8" w:rsidRPr="00FC0ED2" w:rsidRDefault="00A575E8" w:rsidP="001E4871">
    <w:pPr>
      <w:pStyle w:val="Header"/>
      <w:rPr>
        <w:rFonts w:ascii="Calibri" w:hAnsi="Calibri"/>
        <w:sz w:val="16"/>
        <w:szCs w:val="16"/>
      </w:rPr>
    </w:pPr>
    <w:r w:rsidRPr="00FC0ED2">
      <w:rPr>
        <w:rFonts w:ascii="Calibri" w:hAnsi="Calibri"/>
        <w:sz w:val="16"/>
        <w:szCs w:val="16"/>
      </w:rPr>
      <w:t>M.Ed. in Special Education: Mild/Moderate Disabilities K-12</w:t>
    </w:r>
  </w:p>
  <w:p w:rsidR="00A575E8" w:rsidRPr="00FC0ED2" w:rsidRDefault="00A575E8" w:rsidP="001E4871">
    <w:pPr>
      <w:pStyle w:val="Header"/>
      <w:rPr>
        <w:rFonts w:ascii="Calibri" w:hAnsi="Calibri"/>
        <w:sz w:val="16"/>
        <w:szCs w:val="16"/>
      </w:rPr>
    </w:pPr>
    <w:r w:rsidRPr="00FC0ED2">
      <w:rPr>
        <w:rFonts w:ascii="Calibri" w:hAnsi="Calibri"/>
        <w:sz w:val="16"/>
        <w:szCs w:val="16"/>
      </w:rPr>
      <w:t>CEC Program Report Fall 2008</w:t>
    </w:r>
  </w:p>
  <w:p w:rsidR="00A575E8" w:rsidRDefault="00A575E8">
    <w:pPr>
      <w:pStyle w:val="Header"/>
    </w:pPr>
  </w:p>
  <w:p w:rsidR="00A575E8" w:rsidRDefault="00A575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93A"/>
    <w:multiLevelType w:val="hybridMultilevel"/>
    <w:tmpl w:val="11E62B48"/>
    <w:lvl w:ilvl="0" w:tplc="450673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4B05"/>
    <w:multiLevelType w:val="hybridMultilevel"/>
    <w:tmpl w:val="0122B62A"/>
    <w:lvl w:ilvl="0" w:tplc="4506731C">
      <w:start w:val="1"/>
      <w:numFmt w:val="decimal"/>
      <w:lvlText w:val="1.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4506731C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1453E"/>
    <w:multiLevelType w:val="hybridMultilevel"/>
    <w:tmpl w:val="63226872"/>
    <w:lvl w:ilvl="0" w:tplc="A8E257F8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1809FF"/>
    <w:multiLevelType w:val="hybridMultilevel"/>
    <w:tmpl w:val="609CDC7C"/>
    <w:lvl w:ilvl="0" w:tplc="F50ED0CC">
      <w:start w:val="1"/>
      <w:numFmt w:val="decimal"/>
      <w:lvlText w:val="7.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533223"/>
    <w:multiLevelType w:val="hybridMultilevel"/>
    <w:tmpl w:val="0D3C2F70"/>
    <w:lvl w:ilvl="0" w:tplc="39247A68">
      <w:start w:val="1"/>
      <w:numFmt w:val="decimal"/>
      <w:lvlText w:val="2.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061604"/>
    <w:multiLevelType w:val="hybridMultilevel"/>
    <w:tmpl w:val="BE08ABFC"/>
    <w:lvl w:ilvl="0" w:tplc="26F88586">
      <w:start w:val="1"/>
      <w:numFmt w:val="decimal"/>
      <w:lvlText w:val="5.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6715BF"/>
    <w:multiLevelType w:val="hybridMultilevel"/>
    <w:tmpl w:val="FD86A998"/>
    <w:lvl w:ilvl="0" w:tplc="B3D0E98C">
      <w:start w:val="1"/>
      <w:numFmt w:val="decimal"/>
      <w:lvlText w:val="4.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11726D"/>
    <w:multiLevelType w:val="hybridMultilevel"/>
    <w:tmpl w:val="A70035CE"/>
    <w:lvl w:ilvl="0" w:tplc="AD6C8B58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D6C16"/>
    <w:multiLevelType w:val="hybridMultilevel"/>
    <w:tmpl w:val="04489A7A"/>
    <w:lvl w:ilvl="0" w:tplc="845C239A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6A3355"/>
    <w:multiLevelType w:val="hybridMultilevel"/>
    <w:tmpl w:val="418E6FE6"/>
    <w:lvl w:ilvl="0" w:tplc="9F5AAA94">
      <w:start w:val="1"/>
      <w:numFmt w:val="decimal"/>
      <w:lvlText w:val="4.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933551"/>
    <w:multiLevelType w:val="hybridMultilevel"/>
    <w:tmpl w:val="75C47972"/>
    <w:lvl w:ilvl="0" w:tplc="EAA8E82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E2FEED18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8B39B2"/>
    <w:multiLevelType w:val="hybridMultilevel"/>
    <w:tmpl w:val="C2AA7F0E"/>
    <w:lvl w:ilvl="0" w:tplc="0DA4CC9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B0041C"/>
    <w:multiLevelType w:val="hybridMultilevel"/>
    <w:tmpl w:val="E1562EE2"/>
    <w:lvl w:ilvl="0" w:tplc="A4969BCE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D73EDE"/>
    <w:multiLevelType w:val="hybridMultilevel"/>
    <w:tmpl w:val="147C5588"/>
    <w:lvl w:ilvl="0" w:tplc="D6CE3BD0">
      <w:start w:val="1"/>
      <w:numFmt w:val="decimal"/>
      <w:lvlText w:val="6.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567"/>
    <w:rsid w:val="00014B01"/>
    <w:rsid w:val="00074345"/>
    <w:rsid w:val="000C21EC"/>
    <w:rsid w:val="00140D45"/>
    <w:rsid w:val="001C70C8"/>
    <w:rsid w:val="001E4871"/>
    <w:rsid w:val="001F6E70"/>
    <w:rsid w:val="00223AB0"/>
    <w:rsid w:val="002C278B"/>
    <w:rsid w:val="002C59B4"/>
    <w:rsid w:val="002D1E0E"/>
    <w:rsid w:val="00350FFF"/>
    <w:rsid w:val="00450ABE"/>
    <w:rsid w:val="004B5247"/>
    <w:rsid w:val="004C383F"/>
    <w:rsid w:val="004D4686"/>
    <w:rsid w:val="004E20A2"/>
    <w:rsid w:val="0053116F"/>
    <w:rsid w:val="005E680A"/>
    <w:rsid w:val="00646633"/>
    <w:rsid w:val="00651DB7"/>
    <w:rsid w:val="006539F1"/>
    <w:rsid w:val="0069499E"/>
    <w:rsid w:val="006A30D4"/>
    <w:rsid w:val="006C0567"/>
    <w:rsid w:val="00863449"/>
    <w:rsid w:val="008C53E7"/>
    <w:rsid w:val="00936F44"/>
    <w:rsid w:val="009B2947"/>
    <w:rsid w:val="009C1EDA"/>
    <w:rsid w:val="00A31EB2"/>
    <w:rsid w:val="00A55F3F"/>
    <w:rsid w:val="00A575E8"/>
    <w:rsid w:val="00A61E99"/>
    <w:rsid w:val="00B05D3F"/>
    <w:rsid w:val="00B26FF3"/>
    <w:rsid w:val="00B3115B"/>
    <w:rsid w:val="00B522FF"/>
    <w:rsid w:val="00C653FF"/>
    <w:rsid w:val="00CF485A"/>
    <w:rsid w:val="00D05D7A"/>
    <w:rsid w:val="00D172F2"/>
    <w:rsid w:val="00D25CFB"/>
    <w:rsid w:val="00D33F1E"/>
    <w:rsid w:val="00D5122C"/>
    <w:rsid w:val="00DE300E"/>
    <w:rsid w:val="00FA5AD5"/>
    <w:rsid w:val="00FC0E8C"/>
    <w:rsid w:val="00FC3219"/>
    <w:rsid w:val="00FD2EFC"/>
    <w:rsid w:val="00FE22C1"/>
    <w:rsid w:val="00FF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56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12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056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C0567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rsid w:val="006C05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1E4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487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E4871"/>
    <w:rPr>
      <w:sz w:val="24"/>
      <w:szCs w:val="24"/>
    </w:rPr>
  </w:style>
  <w:style w:type="paragraph" w:styleId="BalloonText">
    <w:name w:val="Balloon Text"/>
    <w:basedOn w:val="Normal"/>
    <w:link w:val="BalloonTextChar"/>
    <w:rsid w:val="001E4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C59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59B4"/>
  </w:style>
  <w:style w:type="character" w:styleId="FootnoteReference">
    <w:name w:val="footnote reference"/>
    <w:basedOn w:val="DefaultParagraphFont"/>
    <w:rsid w:val="002C59B4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12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350F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014B01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99FA-172F-4DE5-A446-DBBB17C5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III—RELATIONSHIP OF ASSESSMENT TO STANDARDS</vt:lpstr>
    </vt:vector>
  </TitlesOfParts>
  <Company>Delta State University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III—RELATIONSHIP OF ASSESSMENT TO STANDARDS</dc:title>
  <dc:subject/>
  <dc:creator>OIT</dc:creator>
  <cp:keywords/>
  <dc:description/>
  <cp:lastModifiedBy>ortiz</cp:lastModifiedBy>
  <cp:revision>7</cp:revision>
  <cp:lastPrinted>2010-03-25T19:41:00Z</cp:lastPrinted>
  <dcterms:created xsi:type="dcterms:W3CDTF">2012-04-02T14:36:00Z</dcterms:created>
  <dcterms:modified xsi:type="dcterms:W3CDTF">2012-04-02T14:48:00Z</dcterms:modified>
</cp:coreProperties>
</file>