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C2" w:rsidRPr="00B5331C" w:rsidRDefault="00AE6886" w:rsidP="00B5331C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993333"/>
        </w:rPr>
        <w:t xml:space="preserve">NCATE </w:t>
      </w:r>
      <w:r w:rsidR="009A0DC2" w:rsidRPr="00B5331C">
        <w:rPr>
          <w:rFonts w:ascii="Arial" w:hAnsi="Arial" w:cs="Arial"/>
          <w:b/>
          <w:bCs/>
          <w:color w:val="993333"/>
        </w:rPr>
        <w:t>Guidelines on Programs to be Submitted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t>Unless the terms of the state partnership dictate otherwise, the accreditation process requires preparation of program reports for all professional education programs for which NCATE has approved program standards</w:t>
      </w:r>
      <w:proofErr w:type="gramStart"/>
      <w:r>
        <w:t xml:space="preserve">. </w:t>
      </w:r>
      <w:proofErr w:type="gramEnd"/>
      <w:r>
        <w:t>As of 2007, NCATE had program standards in the following 21 areas: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  <w:sectPr w:rsidR="009A0DC2" w:rsidSect="009A0D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Computer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Early childhood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Education technology specialist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Elementary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English/language arts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Environmental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Foreign language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Gifted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Health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Mathematics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Middle level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Physical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20"/>
              <w:szCs w:val="20"/>
            </w:rPr>
            <w:t>Reading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 xml:space="preserve"> specialists and supervisors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School administrators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School library media specialists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School psychologists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Science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Social studies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Special education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Teaching English to speakers of other languages </w:t>
      </w:r>
    </w:p>
    <w:p w:rsidR="009A0DC2" w:rsidRDefault="009A0DC2" w:rsidP="009A0DC2">
      <w:pPr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Technology education </w:t>
      </w:r>
    </w:p>
    <w:p w:rsidR="009A0DC2" w:rsidRDefault="009A0DC2" w:rsidP="009A0DC2">
      <w:pPr>
        <w:pStyle w:val="NormalWeb"/>
        <w:spacing w:before="0" w:beforeAutospacing="0" w:after="0" w:afterAutospacing="0"/>
        <w:rPr>
          <w:rStyle w:val="Strong"/>
        </w:rPr>
        <w:sectPr w:rsidR="009A0DC2" w:rsidSect="009A0DC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</w:rPr>
        <w:lastRenderedPageBreak/>
        <w:t>Special Cases:</w:t>
      </w:r>
      <w:r w:rsidR="00AE6886">
        <w:rPr>
          <w:rStyle w:val="Strong"/>
        </w:rPr>
        <w:t xml:space="preserve"> </w:t>
      </w:r>
      <w:r>
        <w:t>The following applies to programs that may have difficulty providing appropriate data for the program review.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  <w:u w:val="single"/>
        </w:rPr>
        <w:t>Dormant Programs</w:t>
      </w:r>
      <w:r>
        <w:t>: If no candidates are in the pipeline and no one has graduated from the program in the past three years, a program report is not required</w:t>
      </w:r>
      <w:proofErr w:type="gramStart"/>
      <w:r>
        <w:t xml:space="preserve">. </w:t>
      </w:r>
      <w:proofErr w:type="gramEnd"/>
      <w:r>
        <w:t xml:space="preserve">When the dormant program is reactivated by admitting candidates, a program report may be voluntarily submitted at that time. 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  <w:u w:val="single"/>
        </w:rPr>
        <w:t>Reactivated Programs</w:t>
      </w:r>
      <w:r>
        <w:t>: If a dormant program is reactivated by admitting candidates, the program may voluntarily submit a program report at that point</w:t>
      </w:r>
      <w:proofErr w:type="gramStart"/>
      <w:r>
        <w:t xml:space="preserve">. </w:t>
      </w:r>
      <w:proofErr w:type="gramEnd"/>
      <w:r>
        <w:t>However, the unit must submit a program report for a reactivated program as part of its scheduled program review cycle whether or not candidates have graduated from the program.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  <w:u w:val="single"/>
        </w:rPr>
        <w:t>New Programs</w:t>
      </w:r>
      <w:r>
        <w:t>: A unit can voluntarily submit a program report for a new program anytime between on-site visits if the program has been approved by the state</w:t>
      </w:r>
      <w:proofErr w:type="gramStart"/>
      <w:r>
        <w:t xml:space="preserve">. </w:t>
      </w:r>
      <w:proofErr w:type="gramEnd"/>
      <w:r>
        <w:t>It must submit a program report for the new program as part of its scheduled program review cycle whether or not candidates have graduated from the program.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  <w:u w:val="single"/>
        </w:rPr>
        <w:t>Redesigned Programs</w:t>
      </w:r>
      <w:r>
        <w:t>: If a program is undergoing a major program redesign, it may request a delay of its submission of the program report</w:t>
      </w:r>
      <w:proofErr w:type="gramStart"/>
      <w:r>
        <w:t xml:space="preserve">. </w:t>
      </w:r>
      <w:proofErr w:type="gramEnd"/>
      <w:r>
        <w:t>The delay request must be submitted to NCATE with a detailed explanation of the redesign and its timeline</w:t>
      </w:r>
      <w:proofErr w:type="gramStart"/>
      <w:r>
        <w:t xml:space="preserve">. </w:t>
      </w:r>
      <w:proofErr w:type="gramEnd"/>
      <w:r>
        <w:t>A delay will be granted if the redesign requires major changes in the program and if the appropriate state agency agrees to the delay.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  <w:u w:val="single"/>
        </w:rPr>
        <w:t>Small Programs</w:t>
      </w:r>
      <w:r>
        <w:t>: In Spring 2010 and Fall 2010, NCATE will defer review of low-enrollment programs, defined as programs with ≤ 5 completers in the last three years (in total)</w:t>
      </w:r>
      <w:proofErr w:type="gramStart"/>
      <w:r>
        <w:t xml:space="preserve">. </w:t>
      </w:r>
      <w:proofErr w:type="gramEnd"/>
      <w:r>
        <w:t>During this year, NCATE staff will work with states, institutions, and SPAs to develop a new strategy for review of these programs that will provide quality assurance but may not lead to SPA recognition</w:t>
      </w:r>
      <w:proofErr w:type="gramStart"/>
      <w:r>
        <w:t xml:space="preserve">. </w:t>
      </w:r>
      <w:proofErr w:type="gramEnd"/>
      <w:r>
        <w:t>If you have further questions, please contact Margie Crutchfield (</w:t>
      </w:r>
      <w:hyperlink r:id="rId5" w:history="1">
        <w:r>
          <w:rPr>
            <w:color w:val="32608B"/>
            <w:u w:val="single"/>
          </w:rPr>
          <w:t>margie@ncate.org</w:t>
        </w:r>
      </w:hyperlink>
      <w:r>
        <w:t>) or Robin Marion (</w:t>
      </w:r>
      <w:hyperlink r:id="rId6" w:history="1">
        <w:r>
          <w:rPr>
            <w:color w:val="32608B"/>
            <w:u w:val="single"/>
          </w:rPr>
          <w:t>robin@ncate.org</w:t>
        </w:r>
      </w:hyperlink>
      <w:r>
        <w:t>).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</w:rPr>
        <w:t xml:space="preserve">Programs accredited by other accrediting organizations: </w:t>
      </w:r>
      <w:r>
        <w:t>NCATE recognizes the following specialized accrediting organizations and, therefore, does not review programs in these areas: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American Assembly of Collegiate Schools of Business (AACSB)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American Association of Family and Consumer Sciences (AACS)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American Library Association (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20"/>
              <w:szCs w:val="20"/>
            </w:rPr>
            <w:t>ALA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American Psychological Association (APA)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American Speech-Language-Hearing Association (ASHA)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Council for Accreditation of Counseling and Related Educational Programs (CACREP)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National Association of Schools of Art and Design (NASAD)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National Association of Schools of Dance (NASD)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National Association of Schools of Music (NASM) </w:t>
      </w:r>
    </w:p>
    <w:p w:rsidR="009A0DC2" w:rsidRDefault="009A0DC2" w:rsidP="009A0DC2">
      <w:pPr>
        <w:numPr>
          <w:ilvl w:val="0"/>
          <w:numId w:val="2"/>
        </w:num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National Association of Schools of Theatre (NAST) 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t>Programs accredited by one of these organizations are not required to be submitted to NCATE for program review</w:t>
      </w:r>
      <w:proofErr w:type="gramStart"/>
      <w:r>
        <w:t xml:space="preserve">. </w:t>
      </w:r>
      <w:proofErr w:type="gramEnd"/>
      <w:r>
        <w:t xml:space="preserve">Please see the NCATE </w:t>
      </w:r>
      <w:hyperlink r:id="rId7" w:history="1">
        <w:r>
          <w:rPr>
            <w:rStyle w:val="Emphasis"/>
            <w:color w:val="32608B"/>
            <w:u w:val="single"/>
          </w:rPr>
          <w:t>Handbook for Accreditation Visits</w:t>
        </w:r>
      </w:hyperlink>
      <w:r>
        <w:t xml:space="preserve"> for information on NCATE requirements for these programs for the unit review.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</w:rPr>
        <w:t xml:space="preserve">Other Cases: 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</w:rPr>
        <w:t>Initial Licensure/Post Baccalaureate Programs:</w:t>
      </w:r>
      <w:r>
        <w:t> Many secondary post-baccalaureate programs have been developed for candidates who enter the program already having been prepared in the content area; typically candidates enter the program with an undergraduate major in the field</w:t>
      </w:r>
      <w:proofErr w:type="gramStart"/>
      <w:r>
        <w:t xml:space="preserve">. </w:t>
      </w:r>
      <w:proofErr w:type="gramEnd"/>
      <w:r>
        <w:t xml:space="preserve">Many of these are MAT programs although in a few institutions these are called </w:t>
      </w:r>
      <w:proofErr w:type="spellStart"/>
      <w:r>
        <w:t>MEd</w:t>
      </w:r>
      <w:proofErr w:type="spellEnd"/>
      <w:r>
        <w:t xml:space="preserve"> programs</w:t>
      </w:r>
      <w:proofErr w:type="gramStart"/>
      <w:r>
        <w:t xml:space="preserve">. </w:t>
      </w:r>
      <w:proofErr w:type="gramEnd"/>
      <w:r>
        <w:t>Most post-baccalaureate and alternate pathways programs are also designed to prepare candidates who come into the program with appropriate content area preparation</w:t>
      </w:r>
      <w:proofErr w:type="gramStart"/>
      <w:r>
        <w:t xml:space="preserve">. </w:t>
      </w:r>
      <w:proofErr w:type="gramEnd"/>
      <w:r>
        <w:t>For the purpose of this discussion, these will all be called “Initial Licensure/Post Baccalaureate (IL/PB)” programs</w:t>
      </w:r>
      <w:proofErr w:type="gramStart"/>
      <w:r>
        <w:t xml:space="preserve">. </w:t>
      </w:r>
      <w:proofErr w:type="gramEnd"/>
      <w:r>
        <w:t>NCATE recently approved a new process for approving these kinds of program, but only those in the secondary content areas: English, math, science, social studies and foreign language</w:t>
      </w:r>
      <w:proofErr w:type="gramStart"/>
      <w:r>
        <w:t xml:space="preserve">. </w:t>
      </w:r>
      <w:proofErr w:type="gramEnd"/>
      <w:r>
        <w:t>This new process does not include programs in special education, elementary education or other areas</w:t>
      </w:r>
      <w:proofErr w:type="gramStart"/>
      <w:r>
        <w:t xml:space="preserve">. </w:t>
      </w:r>
      <w:proofErr w:type="gramEnd"/>
      <w:r>
        <w:t>IL/PD programs will be able to combine programs into one secondary education program and submit one report</w:t>
      </w:r>
      <w:proofErr w:type="gramStart"/>
      <w:r>
        <w:t xml:space="preserve">. </w:t>
      </w:r>
      <w:proofErr w:type="gramEnd"/>
      <w:r>
        <w:t>This report will address a generic set of standards but will include two discipline specific components: an evaluation of discipline-specific content knowledge components (through a transcript analysis) and an evaluation of discipline specific content pedagogy components (in the pedagogical assessments)</w:t>
      </w:r>
      <w:proofErr w:type="gramStart"/>
      <w:r>
        <w:t xml:space="preserve">. </w:t>
      </w:r>
      <w:proofErr w:type="gramEnd"/>
      <w:r>
        <w:t>For full information about this new process, see the document on the NCATE web site on the Program Review Resources page, or contact Margie Crutchfield (</w:t>
      </w:r>
      <w:hyperlink r:id="rId8" w:history="1">
        <w:r>
          <w:rPr>
            <w:color w:val="32608B"/>
            <w:u w:val="single"/>
          </w:rPr>
          <w:t>margie@ncate.org</w:t>
        </w:r>
      </w:hyperlink>
      <w:r>
        <w:t>) or Robin Marion (</w:t>
      </w:r>
      <w:hyperlink r:id="rId9" w:history="1">
        <w:r>
          <w:rPr>
            <w:color w:val="32608B"/>
            <w:u w:val="single"/>
          </w:rPr>
          <w:t>robin@ncate.org</w:t>
        </w:r>
      </w:hyperlink>
      <w:r>
        <w:t>).</w:t>
      </w:r>
    </w:p>
    <w:p w:rsidR="009A0DC2" w:rsidRDefault="009A0DC2" w:rsidP="009A0DC2">
      <w:pPr>
        <w:pStyle w:val="NormalWeb"/>
        <w:spacing w:before="0" w:beforeAutospacing="0" w:after="0" w:afterAutospacing="0"/>
      </w:pPr>
      <w:r>
        <w:rPr>
          <w:rStyle w:val="Strong"/>
        </w:rPr>
        <w:t>Middle Level Programs:</w:t>
      </w:r>
      <w:r>
        <w:t> Middle level programs that prepare candidates in two or more content areas and that meet the NMSA criteria for middle-level programs will submit program reports to NCATE/NMSA</w:t>
      </w:r>
      <w:proofErr w:type="gramStart"/>
      <w:r>
        <w:t xml:space="preserve">. </w:t>
      </w:r>
      <w:proofErr w:type="gramEnd"/>
      <w:r>
        <w:t>NMSA reviewers will evaluate the submission and make a decision on whether or not the program will be nationally recognized by NMSA</w:t>
      </w:r>
      <w:proofErr w:type="gramStart"/>
      <w:r>
        <w:t xml:space="preserve">. </w:t>
      </w:r>
      <w:proofErr w:type="gramEnd"/>
      <w:r>
        <w:t>In addition, NMSA reviewers will ensure that the 80% of completers pass the appropriate content test(s)</w:t>
      </w:r>
      <w:proofErr w:type="gramStart"/>
      <w:r>
        <w:t xml:space="preserve">. </w:t>
      </w:r>
      <w:proofErr w:type="gramEnd"/>
      <w:r>
        <w:t>National recognition of this program by NMSA will also be dependent upon the unit having nationally recognized programs in each of the appropriate content areas at the secondary level</w:t>
      </w:r>
      <w:proofErr w:type="gramStart"/>
      <w:r>
        <w:t xml:space="preserve">. </w:t>
      </w:r>
      <w:proofErr w:type="gramEnd"/>
      <w:r>
        <w:t>NCATE staff will verify the status of the secondary content program areas</w:t>
      </w:r>
      <w:proofErr w:type="gramStart"/>
      <w:r>
        <w:t xml:space="preserve">. </w:t>
      </w:r>
      <w:proofErr w:type="gramEnd"/>
      <w:r>
        <w:t>Middle level programs could be recognized with conditions by NMSA if secondary content area programs are still in process</w:t>
      </w:r>
      <w:proofErr w:type="gramStart"/>
      <w:r>
        <w:t xml:space="preserve">. </w:t>
      </w:r>
      <w:proofErr w:type="gramEnd"/>
      <w:r>
        <w:t>For those few middle level programs that do not have secondary preparation programs, 80% of the candidates will still be required to pass the state test in the content area and the state must ensure the adequacy of the content preparation.</w:t>
      </w:r>
    </w:p>
    <w:p w:rsidR="009A0DC2" w:rsidRDefault="009A0DC2" w:rsidP="009A0DC2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A0DC2" w:rsidRDefault="009A0DC2" w:rsidP="009A0DC2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A0DC2" w:rsidRDefault="009A0DC2" w:rsidP="00AE6886">
      <w:pPr>
        <w:spacing w:line="270" w:lineRule="atLeast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t xml:space="preserve"> </w:t>
      </w:r>
    </w:p>
    <w:p w:rsidR="00D668EB" w:rsidRDefault="00D668EB" w:rsidP="009A0DC2"/>
    <w:sectPr w:rsidR="00D668EB" w:rsidSect="009A0DC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D74"/>
    <w:multiLevelType w:val="multilevel"/>
    <w:tmpl w:val="EF22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C4501"/>
    <w:multiLevelType w:val="multilevel"/>
    <w:tmpl w:val="14F4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51A2A"/>
    <w:multiLevelType w:val="multilevel"/>
    <w:tmpl w:val="DA80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D4B38"/>
    <w:multiLevelType w:val="multilevel"/>
    <w:tmpl w:val="CE18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73DAF"/>
    <w:multiLevelType w:val="multilevel"/>
    <w:tmpl w:val="3E60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57B2D"/>
    <w:multiLevelType w:val="multilevel"/>
    <w:tmpl w:val="7E3C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617C0"/>
    <w:multiLevelType w:val="multilevel"/>
    <w:tmpl w:val="8BA4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E1D66"/>
    <w:multiLevelType w:val="multilevel"/>
    <w:tmpl w:val="15EE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42472"/>
    <w:multiLevelType w:val="multilevel"/>
    <w:tmpl w:val="E86A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1442D"/>
    <w:multiLevelType w:val="multilevel"/>
    <w:tmpl w:val="852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7F2D"/>
    <w:multiLevelType w:val="multilevel"/>
    <w:tmpl w:val="8252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574CC"/>
    <w:multiLevelType w:val="multilevel"/>
    <w:tmpl w:val="2ED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47A65"/>
    <w:multiLevelType w:val="multilevel"/>
    <w:tmpl w:val="9190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06E1C"/>
    <w:rsid w:val="00506E1C"/>
    <w:rsid w:val="00670584"/>
    <w:rsid w:val="008212C7"/>
    <w:rsid w:val="009A0DC2"/>
    <w:rsid w:val="00AE6886"/>
    <w:rsid w:val="00B5331C"/>
    <w:rsid w:val="00D6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06E1C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character" w:styleId="Strong">
    <w:name w:val="Strong"/>
    <w:basedOn w:val="DefaultParagraphFont"/>
    <w:qFormat/>
    <w:rsid w:val="00506E1C"/>
    <w:rPr>
      <w:b/>
      <w:bCs/>
    </w:rPr>
  </w:style>
  <w:style w:type="character" w:styleId="Emphasis">
    <w:name w:val="Emphasis"/>
    <w:basedOn w:val="DefaultParagraphFont"/>
    <w:qFormat/>
    <w:rsid w:val="00506E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ie@nca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ate.org/programreview/hbk_contents.asp?ch=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@ncat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gie@ncat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in@nca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AND PROCEDURES FOR THE NCATE PROGRAM REVIEW</vt:lpstr>
    </vt:vector>
  </TitlesOfParts>
  <Company>Eastern Illinois University</Company>
  <LinksUpToDate>false</LinksUpToDate>
  <CharactersWithSpaces>6630</CharactersWithSpaces>
  <SharedDoc>false</SharedDoc>
  <HLinks>
    <vt:vector size="30" baseType="variant">
      <vt:variant>
        <vt:i4>8257607</vt:i4>
      </vt:variant>
      <vt:variant>
        <vt:i4>12</vt:i4>
      </vt:variant>
      <vt:variant>
        <vt:i4>0</vt:i4>
      </vt:variant>
      <vt:variant>
        <vt:i4>5</vt:i4>
      </vt:variant>
      <vt:variant>
        <vt:lpwstr>mailto:robin@ncate.org</vt:lpwstr>
      </vt:variant>
      <vt:variant>
        <vt:lpwstr/>
      </vt:variant>
      <vt:variant>
        <vt:i4>2031660</vt:i4>
      </vt:variant>
      <vt:variant>
        <vt:i4>9</vt:i4>
      </vt:variant>
      <vt:variant>
        <vt:i4>0</vt:i4>
      </vt:variant>
      <vt:variant>
        <vt:i4>5</vt:i4>
      </vt:variant>
      <vt:variant>
        <vt:lpwstr>mailto:margie@ncate.org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http://www.ncate.org/programreview/hbk_contents.asp?ch=15</vt:lpwstr>
      </vt:variant>
      <vt:variant>
        <vt:lpwstr/>
      </vt:variant>
      <vt:variant>
        <vt:i4>8257607</vt:i4>
      </vt:variant>
      <vt:variant>
        <vt:i4>3</vt:i4>
      </vt:variant>
      <vt:variant>
        <vt:i4>0</vt:i4>
      </vt:variant>
      <vt:variant>
        <vt:i4>5</vt:i4>
      </vt:variant>
      <vt:variant>
        <vt:lpwstr>mailto:robin@ncate.org</vt:lpwstr>
      </vt:variant>
      <vt:variant>
        <vt:lpwstr/>
      </vt:variant>
      <vt:variant>
        <vt:i4>2031660</vt:i4>
      </vt:variant>
      <vt:variant>
        <vt:i4>0</vt:i4>
      </vt:variant>
      <vt:variant>
        <vt:i4>0</vt:i4>
      </vt:variant>
      <vt:variant>
        <vt:i4>5</vt:i4>
      </vt:variant>
      <vt:variant>
        <vt:lpwstr>mailto:margie@ncate.org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AND PROCEDURES FOR THE NCATE PROGRAM REVIEW</dc:title>
  <dc:subject/>
  <dc:creator>Christy Hooser</dc:creator>
  <cp:keywords/>
  <dc:description/>
  <cp:lastModifiedBy>ortiz</cp:lastModifiedBy>
  <cp:revision>2</cp:revision>
  <dcterms:created xsi:type="dcterms:W3CDTF">2012-04-06T15:19:00Z</dcterms:created>
  <dcterms:modified xsi:type="dcterms:W3CDTF">2012-04-06T15:19:00Z</dcterms:modified>
</cp:coreProperties>
</file>